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jc w:val="right"/>
        <w:rPr>
          <w:rFonts w:ascii="Arial" w:hAnsi="Arial" w:cs="Arial"/>
          <w:bCs/>
          <w:sz w:val="21"/>
          <w:szCs w:val="21"/>
        </w:rPr>
      </w:pPr>
      <w:bookmarkStart w:id="0" w:name="_Hlk48325086"/>
      <w:r>
        <w:rPr>
          <w:rFonts w:ascii="Arial" w:hAnsi="Arial" w:cs="Arial"/>
          <w:bCs/>
          <w:sz w:val="21"/>
          <w:szCs w:val="21"/>
        </w:rPr>
        <w:t>Versi Tanggal: 28 Desember 2020</w:t>
      </w:r>
    </w:p>
    <w:p>
      <w:pPr>
        <w:widowControl w:val="0"/>
        <w:spacing w:after="120"/>
        <w:jc w:val="right"/>
        <w:rPr>
          <w:rFonts w:ascii="Arial" w:hAnsi="Arial" w:cs="Arial"/>
          <w:b/>
          <w:sz w:val="21"/>
          <w:szCs w:val="21"/>
        </w:rPr>
      </w:pPr>
    </w:p>
    <w:p>
      <w:pPr>
        <w:widowControl w:val="0"/>
        <w:spacing w:after="120"/>
        <w:jc w:val="right"/>
        <w:rPr>
          <w:rFonts w:ascii="Arial" w:hAnsi="Arial" w:cs="Arial"/>
          <w:b/>
          <w:sz w:val="21"/>
          <w:szCs w:val="21"/>
        </w:rPr>
      </w:pPr>
    </w:p>
    <w:p>
      <w:pPr>
        <w:widowControl w:val="0"/>
        <w:spacing w:after="120"/>
        <w:jc w:val="right"/>
        <w:rPr>
          <w:rFonts w:ascii="Arial" w:hAnsi="Arial" w:cs="Arial"/>
          <w:b/>
          <w:sz w:val="21"/>
          <w:szCs w:val="21"/>
        </w:rPr>
      </w:pPr>
    </w:p>
    <w:p>
      <w:pPr>
        <w:widowControl w:val="0"/>
        <w:spacing w:after="120"/>
        <w:jc w:val="right"/>
        <w:rPr>
          <w:rFonts w:ascii="Arial" w:hAnsi="Arial" w:cs="Arial"/>
          <w:b/>
          <w:sz w:val="21"/>
          <w:szCs w:val="21"/>
        </w:rPr>
      </w:pPr>
    </w:p>
    <w:p>
      <w:pPr>
        <w:spacing w:after="120"/>
        <w:ind w:right="-709"/>
        <w:jc w:val="center"/>
        <w:rPr>
          <w:rFonts w:ascii="Arial" w:hAnsi="Arial" w:cs="Arial"/>
          <w:b/>
          <w:bCs/>
          <w:sz w:val="21"/>
          <w:szCs w:val="21"/>
        </w:rPr>
      </w:pPr>
      <w:r>
        <w:rPr>
          <w:rFonts w:ascii="Arial" w:hAnsi="Arial" w:cs="Arial"/>
          <w:b/>
          <w:bCs/>
          <w:sz w:val="21"/>
          <w:szCs w:val="21"/>
        </w:rPr>
        <w:br w:type="textWrapping"/>
      </w:r>
    </w:p>
    <w:p>
      <w:pPr>
        <w:widowControl w:val="0"/>
        <w:spacing w:after="120"/>
        <w:jc w:val="center"/>
        <w:rPr>
          <w:rFonts w:ascii="Arial" w:hAnsi="Arial" w:cs="Arial"/>
          <w:sz w:val="21"/>
          <w:szCs w:val="21"/>
        </w:rPr>
      </w:pPr>
    </w:p>
    <w:p>
      <w:pPr>
        <w:widowControl w:val="0"/>
        <w:spacing w:after="120"/>
        <w:jc w:val="center"/>
        <w:rPr>
          <w:rFonts w:ascii="Arial" w:hAnsi="Arial" w:cs="Arial"/>
          <w:b/>
          <w:sz w:val="21"/>
          <w:szCs w:val="21"/>
        </w:rPr>
      </w:pPr>
      <w:r>
        <w:rPr>
          <w:rFonts w:ascii="Arial" w:hAnsi="Arial" w:cs="Arial"/>
          <w:sz w:val="21"/>
          <w:szCs w:val="21"/>
          <w:lang w:val="en-US"/>
        </w:rPr>
        <w:drawing>
          <wp:inline distT="0" distB="0" distL="0" distR="0">
            <wp:extent cx="3279140" cy="18288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0"/>
                    <a:stretch>
                      <a:fillRect/>
                    </a:stretch>
                  </pic:blipFill>
                  <pic:spPr>
                    <a:xfrm>
                      <a:off x="0" y="0"/>
                      <a:ext cx="3279764" cy="1828800"/>
                    </a:xfrm>
                    <a:prstGeom prst="rect">
                      <a:avLst/>
                    </a:prstGeom>
                  </pic:spPr>
                </pic:pic>
              </a:graphicData>
            </a:graphic>
          </wp:inline>
        </w:drawing>
      </w:r>
      <w:r>
        <w:rPr>
          <w:rFonts w:ascii="Arial" w:hAnsi="Arial" w:cs="Arial"/>
          <w:b/>
          <w:sz w:val="21"/>
          <w:szCs w:val="21"/>
        </w:rPr>
        <w:br w:type="textWrapping"/>
      </w:r>
    </w:p>
    <w:p>
      <w:pPr>
        <w:widowControl w:val="0"/>
        <w:spacing w:after="120"/>
        <w:jc w:val="center"/>
        <w:rPr>
          <w:rFonts w:ascii="Arial" w:hAnsi="Arial" w:cs="Arial"/>
          <w:b/>
          <w:sz w:val="21"/>
          <w:szCs w:val="21"/>
        </w:rPr>
      </w:pPr>
    </w:p>
    <w:p>
      <w:pPr>
        <w:widowControl w:val="0"/>
        <w:spacing w:after="120"/>
        <w:jc w:val="center"/>
        <w:rPr>
          <w:rFonts w:ascii="Arial" w:hAnsi="Arial" w:cs="Arial"/>
          <w:b/>
          <w:sz w:val="21"/>
          <w:szCs w:val="21"/>
        </w:rPr>
      </w:pPr>
    </w:p>
    <w:p>
      <w:pPr>
        <w:widowControl w:val="0"/>
        <w:spacing w:after="120"/>
        <w:jc w:val="center"/>
        <w:rPr>
          <w:rFonts w:ascii="Arial" w:hAnsi="Arial" w:cs="Arial"/>
          <w:b/>
          <w:sz w:val="21"/>
          <w:szCs w:val="21"/>
        </w:rPr>
      </w:pPr>
    </w:p>
    <w:p>
      <w:pPr>
        <w:widowControl w:val="0"/>
        <w:spacing w:after="120"/>
        <w:jc w:val="center"/>
        <w:rPr>
          <w:rFonts w:ascii="Arial" w:hAnsi="Arial" w:cs="Arial"/>
          <w:b/>
          <w:sz w:val="21"/>
          <w:szCs w:val="21"/>
        </w:rPr>
      </w:pPr>
    </w:p>
    <w:p>
      <w:pPr>
        <w:widowControl w:val="0"/>
        <w:spacing w:after="120"/>
        <w:jc w:val="center"/>
        <w:rPr>
          <w:rFonts w:ascii="Arial" w:hAnsi="Arial" w:cs="Arial"/>
          <w:b/>
          <w:sz w:val="21"/>
          <w:szCs w:val="21"/>
        </w:rPr>
      </w:pPr>
    </w:p>
    <w:p>
      <w:pPr>
        <w:widowControl w:val="0"/>
        <w:spacing w:after="120"/>
        <w:jc w:val="center"/>
        <w:rPr>
          <w:rFonts w:ascii="Arial" w:hAnsi="Arial" w:cs="Arial"/>
          <w:b/>
          <w:sz w:val="21"/>
          <w:szCs w:val="21"/>
        </w:rPr>
      </w:pPr>
      <w:r>
        <w:rPr>
          <w:rFonts w:ascii="Arial" w:hAnsi="Arial" w:cs="Arial"/>
          <w:b/>
          <w:sz w:val="21"/>
          <w:szCs w:val="21"/>
        </w:rPr>
        <w:t>DAFTAR KETENTUAN UNTUK TRANSAKSI PEMBIAYAAN PROYEK YANG DAPAT DIGUNAKAN BERSAMA DENGAN:</w:t>
      </w:r>
    </w:p>
    <w:p>
      <w:pPr>
        <w:widowControl w:val="0"/>
        <w:spacing w:after="120"/>
        <w:jc w:val="center"/>
        <w:rPr>
          <w:rFonts w:ascii="Arial" w:hAnsi="Arial" w:cs="Arial"/>
          <w:b/>
          <w:sz w:val="21"/>
          <w:szCs w:val="21"/>
        </w:rPr>
      </w:pPr>
      <w:r>
        <w:rPr>
          <w:rFonts w:ascii="Arial" w:hAnsi="Arial" w:cs="Arial"/>
          <w:b/>
          <w:sz w:val="21"/>
          <w:szCs w:val="21"/>
        </w:rPr>
        <w:t>(A) SURAT PELIMPAHAN WEWENANG INFRASTRUCTURE ASIA; DAN</w:t>
      </w:r>
      <w:r>
        <w:rPr>
          <w:rFonts w:ascii="Arial" w:hAnsi="Arial" w:cs="Arial"/>
          <w:b/>
          <w:sz w:val="21"/>
          <w:szCs w:val="21"/>
        </w:rPr>
        <w:br w:type="textWrapping"/>
      </w:r>
      <w:r>
        <w:rPr>
          <w:rFonts w:ascii="Arial" w:hAnsi="Arial" w:cs="Arial"/>
          <w:b/>
          <w:sz w:val="21"/>
          <w:szCs w:val="21"/>
        </w:rPr>
        <w:t>(B) PERJANJIAN KETENTUAN-KETENTUAN UMUM INFRASTRUCTURE ASIA</w:t>
      </w:r>
    </w:p>
    <w:tbl>
      <w:tblPr>
        <w:tblStyle w:val="17"/>
        <w:tblW w:w="5000" w:type="pct"/>
        <w:tblInd w:w="0" w:type="dxa"/>
        <w:tblLayout w:type="autofit"/>
        <w:tblCellMar>
          <w:top w:w="0" w:type="dxa"/>
          <w:left w:w="108" w:type="dxa"/>
          <w:bottom w:w="0" w:type="dxa"/>
          <w:right w:w="108" w:type="dxa"/>
        </w:tblCellMar>
      </w:tblPr>
      <w:tblGrid>
        <w:gridCol w:w="4441"/>
        <w:gridCol w:w="4442"/>
      </w:tblGrid>
      <w:tr>
        <w:tblPrEx>
          <w:tblCellMar>
            <w:top w:w="0" w:type="dxa"/>
            <w:left w:w="108" w:type="dxa"/>
            <w:bottom w:w="0" w:type="dxa"/>
            <w:right w:w="108" w:type="dxa"/>
          </w:tblCellMar>
        </w:tblPrEx>
        <w:trPr>
          <w:trHeight w:val="567" w:hRule="exact"/>
        </w:trPr>
        <w:tc>
          <w:tcPr>
            <w:tcW w:w="5000" w:type="pct"/>
            <w:gridSpan w:val="2"/>
          </w:tcPr>
          <w:p>
            <w:pPr>
              <w:pStyle w:val="109"/>
              <w:pageBreakBefore/>
              <w:spacing w:before="0" w:after="120"/>
              <w:jc w:val="center"/>
              <w:rPr>
                <w:rFonts w:ascii="Arial" w:hAnsi="Arial" w:cs="Arial"/>
                <w:b/>
                <w:bCs/>
                <w:sz w:val="21"/>
                <w:szCs w:val="21"/>
              </w:rPr>
            </w:pPr>
            <w:r>
              <w:rPr>
                <w:rFonts w:ascii="Arial" w:hAnsi="Arial" w:cs="Arial"/>
                <w:b/>
                <w:bCs/>
                <w:color w:val="auto"/>
                <w:sz w:val="21"/>
                <w:szCs w:val="21"/>
              </w:rPr>
              <w:t>Daftar Isi</w:t>
            </w:r>
          </w:p>
        </w:tc>
      </w:tr>
      <w:tr>
        <w:tblPrEx>
          <w:tblCellMar>
            <w:top w:w="0" w:type="dxa"/>
            <w:left w:w="108" w:type="dxa"/>
            <w:bottom w:w="0" w:type="dxa"/>
            <w:right w:w="108" w:type="dxa"/>
          </w:tblCellMar>
        </w:tblPrEx>
        <w:trPr>
          <w:trHeight w:val="567" w:hRule="exact"/>
        </w:trPr>
        <w:tc>
          <w:tcPr>
            <w:tcW w:w="2500" w:type="pct"/>
          </w:tcPr>
          <w:p>
            <w:pPr>
              <w:spacing w:after="120"/>
              <w:rPr>
                <w:rFonts w:ascii="Arial" w:hAnsi="Arial" w:cs="Arial"/>
                <w:sz w:val="21"/>
                <w:szCs w:val="21"/>
              </w:rPr>
            </w:pPr>
            <w:r>
              <w:rPr>
                <w:rFonts w:ascii="Arial" w:hAnsi="Arial" w:cs="Arial"/>
                <w:sz w:val="21"/>
                <w:szCs w:val="21"/>
              </w:rPr>
              <w:t>Klaus</w:t>
            </w:r>
            <w:r>
              <w:rPr>
                <w:rFonts w:hint="default" w:ascii="Arial" w:hAnsi="Arial" w:cs="Arial"/>
                <w:sz w:val="21"/>
                <w:szCs w:val="21"/>
                <w:lang w:val="en-US"/>
              </w:rPr>
              <w:t>ul</w:t>
            </w:r>
          </w:p>
        </w:tc>
        <w:tc>
          <w:tcPr>
            <w:tcW w:w="2500" w:type="pct"/>
          </w:tcPr>
          <w:p>
            <w:pPr>
              <w:pStyle w:val="110"/>
              <w:spacing w:after="120"/>
              <w:rPr>
                <w:rFonts w:ascii="Arial" w:hAnsi="Arial" w:cs="Arial"/>
                <w:sz w:val="21"/>
                <w:szCs w:val="21"/>
              </w:rPr>
            </w:pPr>
            <w:r>
              <w:rPr>
                <w:rFonts w:ascii="Arial" w:hAnsi="Arial" w:cs="Arial"/>
                <w:sz w:val="21"/>
                <w:szCs w:val="21"/>
              </w:rPr>
              <w:t>Halaman</w:t>
            </w:r>
          </w:p>
        </w:tc>
      </w:tr>
    </w:tbl>
    <w:p>
      <w:pPr>
        <w:pStyle w:val="34"/>
        <w:tabs>
          <w:tab w:val="right" w:leader="dot" w:pos="8657"/>
        </w:tabs>
        <w:spacing w:after="120"/>
        <w:rPr>
          <w:rFonts w:cs="Arial"/>
          <w:caps w:val="0"/>
          <w:szCs w:val="21"/>
          <w:lang w:val="zh-CN" w:eastAsia="zh-CN"/>
        </w:rPr>
      </w:pPr>
      <w:r>
        <w:rPr>
          <w:rFonts w:cs="Arial"/>
          <w:szCs w:val="21"/>
        </w:rPr>
        <w:fldChar w:fldCharType="begin"/>
      </w:r>
      <w:r>
        <w:rPr>
          <w:rFonts w:cs="Arial"/>
          <w:szCs w:val="21"/>
        </w:rPr>
        <w:instrText xml:space="preserve"> TOC \f \t "Schedule 1 L1;1;General 2 L2;2;General 2 L1;1" </w:instrText>
      </w:r>
      <w:r>
        <w:rPr>
          <w:rFonts w:cs="Arial"/>
          <w:szCs w:val="21"/>
        </w:rPr>
        <w:fldChar w:fldCharType="separate"/>
      </w:r>
      <w:r>
        <w:rPr>
          <w:rFonts w:cs="Arial"/>
          <w:bCs/>
          <w:caps w:val="0"/>
          <w:szCs w:val="21"/>
        </w:rPr>
        <w:t>A.</w:t>
      </w:r>
      <w:r>
        <w:rPr>
          <w:rFonts w:cs="Arial"/>
          <w:caps w:val="0"/>
          <w:szCs w:val="21"/>
          <w:lang w:val="zh-CN" w:eastAsia="zh-CN"/>
        </w:rPr>
        <w:tab/>
      </w:r>
      <w:r>
        <w:rPr>
          <w:rFonts w:cs="Arial"/>
          <w:szCs w:val="21"/>
        </w:rPr>
        <w:t>para pihak</w:t>
      </w:r>
      <w:r>
        <w:rPr>
          <w:rFonts w:cs="Arial"/>
          <w:szCs w:val="21"/>
        </w:rPr>
        <w:tab/>
      </w:r>
      <w:r>
        <w:rPr>
          <w:rFonts w:cs="Arial"/>
          <w:szCs w:val="21"/>
        </w:rPr>
        <w:fldChar w:fldCharType="begin"/>
      </w:r>
      <w:r>
        <w:rPr>
          <w:rFonts w:cs="Arial"/>
          <w:szCs w:val="21"/>
        </w:rPr>
        <w:instrText xml:space="preserve"> PAGEREF _Toc74860665 \h </w:instrText>
      </w:r>
      <w:r>
        <w:rPr>
          <w:rFonts w:cs="Arial"/>
          <w:szCs w:val="21"/>
        </w:rPr>
        <w:fldChar w:fldCharType="separate"/>
      </w:r>
      <w:r>
        <w:rPr>
          <w:rFonts w:cs="Arial"/>
          <w:szCs w:val="21"/>
        </w:rPr>
        <w:t>1</w:t>
      </w:r>
      <w:r>
        <w:rPr>
          <w:rFonts w:cs="Arial"/>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1.</w:t>
      </w:r>
      <w:r>
        <w:rPr>
          <w:rFonts w:ascii="Arial" w:hAnsi="Arial" w:cs="Arial"/>
          <w:caps w:val="0"/>
          <w:sz w:val="21"/>
          <w:szCs w:val="21"/>
          <w:lang w:val="zh-CN" w:eastAsia="zh-CN"/>
        </w:rPr>
        <w:tab/>
      </w:r>
      <w:r>
        <w:rPr>
          <w:rFonts w:ascii="Arial" w:hAnsi="Arial" w:cs="Arial"/>
          <w:sz w:val="21"/>
          <w:szCs w:val="21"/>
        </w:rPr>
        <w:t>PARA PIHAK EKUITAS</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_Toc74860666 \h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2.</w:t>
      </w:r>
      <w:r>
        <w:rPr>
          <w:rFonts w:ascii="Arial" w:hAnsi="Arial" w:cs="Arial"/>
          <w:caps w:val="0"/>
          <w:sz w:val="21"/>
          <w:szCs w:val="21"/>
          <w:lang w:val="zh-CN" w:eastAsia="zh-CN"/>
        </w:rPr>
        <w:tab/>
      </w:r>
      <w:r>
        <w:rPr>
          <w:rFonts w:ascii="Arial" w:hAnsi="Arial" w:cs="Arial"/>
          <w:sz w:val="21"/>
          <w:szCs w:val="21"/>
        </w:rPr>
        <w:t xml:space="preserve">PARA PIHAK LAWAN BERKONTRAK </w:t>
      </w:r>
      <w:r>
        <w:rPr>
          <w:rFonts w:ascii="Arial" w:hAnsi="Arial" w:cs="Arial"/>
          <w:sz w:val="21"/>
          <w:szCs w:val="21"/>
          <w:lang w:val="en-US"/>
        </w:rPr>
        <w:t xml:space="preserve">DALAM </w:t>
      </w:r>
      <w:r>
        <w:rPr>
          <w:rFonts w:ascii="Arial" w:hAnsi="Arial" w:cs="Arial"/>
          <w:sz w:val="21"/>
          <w:szCs w:val="21"/>
        </w:rPr>
        <w:t>PROYEK</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_Toc74860667 \h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3.</w:t>
      </w:r>
      <w:r>
        <w:rPr>
          <w:rFonts w:ascii="Arial" w:hAnsi="Arial" w:cs="Arial"/>
          <w:caps w:val="0"/>
          <w:sz w:val="21"/>
          <w:szCs w:val="21"/>
          <w:lang w:val="zh-CN" w:eastAsia="zh-CN"/>
        </w:rPr>
        <w:tab/>
      </w:r>
      <w:r>
        <w:rPr>
          <w:rFonts w:ascii="Arial" w:hAnsi="Arial" w:cs="Arial"/>
          <w:sz w:val="21"/>
          <w:szCs w:val="21"/>
        </w:rPr>
        <w:t>PARA PIHAK PEMBIAYAAN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_Toc74860668 \h </w:instrText>
      </w:r>
      <w:r>
        <w:rPr>
          <w:rFonts w:ascii="Arial" w:hAnsi="Arial" w:cs="Arial"/>
          <w:sz w:val="21"/>
          <w:szCs w:val="21"/>
        </w:rPr>
        <w:fldChar w:fldCharType="separate"/>
      </w:r>
      <w:r>
        <w:rPr>
          <w:rFonts w:ascii="Arial" w:hAnsi="Arial" w:cs="Arial"/>
          <w:sz w:val="21"/>
          <w:szCs w:val="21"/>
        </w:rPr>
        <w:t>2</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4.</w:t>
      </w:r>
      <w:r>
        <w:rPr>
          <w:rFonts w:ascii="Arial" w:hAnsi="Arial" w:cs="Arial"/>
          <w:caps w:val="0"/>
          <w:sz w:val="21"/>
          <w:szCs w:val="21"/>
          <w:lang w:val="zh-CN" w:eastAsia="zh-CN"/>
        </w:rPr>
        <w:tab/>
      </w:r>
      <w:r>
        <w:rPr>
          <w:rFonts w:ascii="Arial" w:hAnsi="Arial" w:cs="Arial"/>
          <w:sz w:val="21"/>
          <w:szCs w:val="21"/>
        </w:rPr>
        <w:t>PENASIHAT-PENASIHAT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_Toc74860669 \h </w:instrText>
      </w:r>
      <w:r>
        <w:rPr>
          <w:rFonts w:ascii="Arial" w:hAnsi="Arial" w:cs="Arial"/>
          <w:sz w:val="21"/>
          <w:szCs w:val="21"/>
        </w:rPr>
        <w:fldChar w:fldCharType="separate"/>
      </w:r>
      <w:r>
        <w:rPr>
          <w:rFonts w:ascii="Arial" w:hAnsi="Arial" w:cs="Arial"/>
          <w:sz w:val="21"/>
          <w:szCs w:val="21"/>
        </w:rPr>
        <w:t>4</w:t>
      </w:r>
      <w:r>
        <w:rPr>
          <w:rFonts w:ascii="Arial" w:hAnsi="Arial" w:cs="Arial"/>
          <w:sz w:val="21"/>
          <w:szCs w:val="21"/>
        </w:rPr>
        <w:fldChar w:fldCharType="end"/>
      </w:r>
    </w:p>
    <w:p>
      <w:pPr>
        <w:pStyle w:val="34"/>
        <w:tabs>
          <w:tab w:val="right" w:leader="dot" w:pos="8657"/>
        </w:tabs>
        <w:spacing w:after="120"/>
        <w:rPr>
          <w:rFonts w:cs="Arial"/>
          <w:caps w:val="0"/>
          <w:szCs w:val="21"/>
          <w:lang w:val="zh-CN" w:eastAsia="zh-CN"/>
        </w:rPr>
      </w:pPr>
      <w:r>
        <w:rPr>
          <w:rFonts w:cs="Arial"/>
          <w:bCs/>
          <w:caps w:val="0"/>
          <w:szCs w:val="21"/>
        </w:rPr>
        <w:t>B.</w:t>
      </w:r>
      <w:r>
        <w:rPr>
          <w:rFonts w:cs="Arial"/>
          <w:caps w:val="0"/>
          <w:szCs w:val="21"/>
          <w:lang w:val="zh-CN" w:eastAsia="zh-CN"/>
        </w:rPr>
        <w:tab/>
      </w:r>
      <w:r>
        <w:rPr>
          <w:rFonts w:cs="Arial"/>
          <w:szCs w:val="21"/>
        </w:rPr>
        <w:t>BIAYA PROYEK YANG DIANGGARKAN dan rencana pembiayaan</w:t>
      </w:r>
      <w:r>
        <w:rPr>
          <w:rFonts w:cs="Arial"/>
          <w:szCs w:val="21"/>
        </w:rPr>
        <w:tab/>
      </w:r>
      <w:r>
        <w:rPr>
          <w:rFonts w:cs="Arial"/>
          <w:szCs w:val="21"/>
        </w:rPr>
        <w:fldChar w:fldCharType="begin"/>
      </w:r>
      <w:r>
        <w:rPr>
          <w:rFonts w:cs="Arial"/>
          <w:szCs w:val="21"/>
        </w:rPr>
        <w:instrText xml:space="preserve"> PAGEREF _Toc74860670 \h </w:instrText>
      </w:r>
      <w:r>
        <w:rPr>
          <w:rFonts w:cs="Arial"/>
          <w:szCs w:val="21"/>
        </w:rPr>
        <w:fldChar w:fldCharType="separate"/>
      </w:r>
      <w:r>
        <w:rPr>
          <w:rFonts w:cs="Arial"/>
          <w:szCs w:val="21"/>
        </w:rPr>
        <w:t>5</w:t>
      </w:r>
      <w:r>
        <w:rPr>
          <w:rFonts w:cs="Arial"/>
          <w:szCs w:val="21"/>
        </w:rPr>
        <w:fldChar w:fldCharType="end"/>
      </w:r>
    </w:p>
    <w:p>
      <w:pPr>
        <w:pStyle w:val="34"/>
        <w:tabs>
          <w:tab w:val="right" w:leader="dot" w:pos="8657"/>
        </w:tabs>
        <w:spacing w:after="120"/>
        <w:rPr>
          <w:rFonts w:cs="Arial"/>
          <w:caps w:val="0"/>
          <w:szCs w:val="21"/>
          <w:lang w:val="zh-CN" w:eastAsia="zh-CN"/>
        </w:rPr>
      </w:pPr>
      <w:r>
        <w:rPr>
          <w:rFonts w:cs="Arial"/>
          <w:bCs/>
          <w:caps w:val="0"/>
          <w:szCs w:val="21"/>
        </w:rPr>
        <w:t>C.</w:t>
      </w:r>
      <w:r>
        <w:rPr>
          <w:rFonts w:cs="Arial"/>
          <w:caps w:val="0"/>
          <w:szCs w:val="21"/>
          <w:lang w:val="zh-CN" w:eastAsia="zh-CN"/>
        </w:rPr>
        <w:tab/>
      </w:r>
      <w:r>
        <w:rPr>
          <w:rFonts w:cs="Arial"/>
          <w:szCs w:val="21"/>
        </w:rPr>
        <w:t>FASILITAS-FASILITAS</w:t>
      </w:r>
      <w:r>
        <w:rPr>
          <w:rFonts w:cs="Arial"/>
          <w:szCs w:val="21"/>
        </w:rPr>
        <w:tab/>
      </w:r>
      <w:r>
        <w:rPr>
          <w:rFonts w:cs="Arial"/>
          <w:szCs w:val="21"/>
        </w:rPr>
        <w:fldChar w:fldCharType="begin"/>
      </w:r>
      <w:r>
        <w:rPr>
          <w:rFonts w:cs="Arial"/>
          <w:szCs w:val="21"/>
        </w:rPr>
        <w:instrText xml:space="preserve"> PAGEREF _Toc74860671 \h </w:instrText>
      </w:r>
      <w:r>
        <w:rPr>
          <w:rFonts w:cs="Arial"/>
          <w:szCs w:val="21"/>
        </w:rPr>
        <w:fldChar w:fldCharType="separate"/>
      </w:r>
      <w:r>
        <w:rPr>
          <w:rFonts w:cs="Arial"/>
          <w:szCs w:val="21"/>
        </w:rPr>
        <w:t>12</w:t>
      </w:r>
      <w:r>
        <w:rPr>
          <w:rFonts w:cs="Arial"/>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1.</w:t>
      </w:r>
      <w:r>
        <w:rPr>
          <w:rFonts w:ascii="Arial" w:hAnsi="Arial" w:cs="Arial"/>
          <w:caps w:val="0"/>
          <w:sz w:val="21"/>
          <w:szCs w:val="21"/>
          <w:lang w:val="zh-CN" w:eastAsia="zh-CN"/>
        </w:rPr>
        <w:tab/>
      </w:r>
      <w:r>
        <w:rPr>
          <w:rFonts w:ascii="Arial" w:hAnsi="Arial" w:eastAsia="Times New Roman" w:cs="Arial"/>
          <w:iCs/>
          <w:sz w:val="21"/>
          <w:szCs w:val="21"/>
        </w:rPr>
        <w:t>FASILITAS PINJAMAN BERJANGKA A</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_Toc74860672 \h </w:instrText>
      </w:r>
      <w:r>
        <w:rPr>
          <w:rFonts w:ascii="Arial" w:hAnsi="Arial" w:cs="Arial"/>
          <w:sz w:val="21"/>
          <w:szCs w:val="21"/>
        </w:rPr>
        <w:fldChar w:fldCharType="separate"/>
      </w:r>
      <w:r>
        <w:rPr>
          <w:rFonts w:ascii="Arial" w:hAnsi="Arial" w:cs="Arial"/>
          <w:sz w:val="21"/>
          <w:szCs w:val="21"/>
        </w:rPr>
        <w:t>12</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2.</w:t>
      </w:r>
      <w:r>
        <w:rPr>
          <w:rFonts w:ascii="Arial" w:hAnsi="Arial" w:cs="Arial"/>
          <w:caps w:val="0"/>
          <w:sz w:val="21"/>
          <w:szCs w:val="21"/>
          <w:lang w:val="zh-CN" w:eastAsia="zh-CN"/>
        </w:rPr>
        <w:tab/>
      </w:r>
      <w:r>
        <w:rPr>
          <w:rFonts w:ascii="Arial" w:hAnsi="Arial" w:cs="Arial"/>
          <w:sz w:val="21"/>
          <w:szCs w:val="21"/>
        </w:rPr>
        <w:t>[FASILITAS MODAL KERJA</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_Toc74860673 \h </w:instrText>
      </w:r>
      <w:r>
        <w:rPr>
          <w:rFonts w:ascii="Arial" w:hAnsi="Arial" w:cs="Arial"/>
          <w:sz w:val="21"/>
          <w:szCs w:val="21"/>
        </w:rPr>
        <w:fldChar w:fldCharType="separate"/>
      </w:r>
      <w:r>
        <w:rPr>
          <w:rFonts w:ascii="Arial" w:hAnsi="Arial" w:cs="Arial"/>
          <w:sz w:val="21"/>
          <w:szCs w:val="21"/>
        </w:rPr>
        <w:t>14</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eastAsia="zh-CN"/>
        </w:rPr>
        <w:t>3.</w:t>
      </w:r>
      <w:r>
        <w:rPr>
          <w:rFonts w:ascii="Arial" w:hAnsi="Arial" w:cs="Arial"/>
          <w:caps w:val="0"/>
          <w:sz w:val="21"/>
          <w:szCs w:val="21"/>
          <w:lang w:val="zh-CN" w:eastAsia="zh-CN"/>
        </w:rPr>
        <w:tab/>
      </w:r>
      <w:r>
        <w:rPr>
          <w:rFonts w:ascii="Arial" w:hAnsi="Arial" w:cs="Arial"/>
          <w:sz w:val="21"/>
          <w:szCs w:val="21"/>
          <w:lang w:eastAsia="zh-CN"/>
        </w:rPr>
        <w:t xml:space="preserve">[FASILITAS </w:t>
      </w:r>
      <w:r>
        <w:rPr>
          <w:rFonts w:ascii="Arial" w:hAnsi="Arial" w:cs="Arial"/>
          <w:i/>
          <w:sz w:val="21"/>
          <w:szCs w:val="21"/>
          <w:lang w:eastAsia="zh-CN"/>
        </w:rPr>
        <w:t>STANDBY</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_Toc74860674 \h </w:instrText>
      </w:r>
      <w:r>
        <w:rPr>
          <w:rFonts w:ascii="Arial" w:hAnsi="Arial" w:cs="Arial"/>
          <w:sz w:val="21"/>
          <w:szCs w:val="21"/>
        </w:rPr>
        <w:fldChar w:fldCharType="separate"/>
      </w:r>
      <w:r>
        <w:rPr>
          <w:rFonts w:ascii="Arial" w:hAnsi="Arial" w:cs="Arial"/>
          <w:sz w:val="21"/>
          <w:szCs w:val="21"/>
        </w:rPr>
        <w:t>15</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eastAsia="zh-CN"/>
        </w:rPr>
        <w:t>4.</w:t>
      </w:r>
      <w:r>
        <w:rPr>
          <w:rFonts w:ascii="Arial" w:hAnsi="Arial" w:cs="Arial"/>
          <w:caps w:val="0"/>
          <w:sz w:val="21"/>
          <w:szCs w:val="21"/>
          <w:lang w:val="zh-CN" w:eastAsia="zh-CN"/>
        </w:rPr>
        <w:tab/>
      </w:r>
      <w:r>
        <w:rPr>
          <w:rFonts w:ascii="Arial" w:hAnsi="Arial" w:cs="Arial"/>
          <w:sz w:val="21"/>
          <w:szCs w:val="21"/>
          <w:lang w:eastAsia="zh-CN"/>
        </w:rPr>
        <w:t>[FASILITAS TALANGAN EKUITAS (</w:t>
      </w:r>
      <w:r>
        <w:rPr>
          <w:rFonts w:ascii="Arial" w:hAnsi="Arial" w:cs="Arial"/>
          <w:i/>
          <w:iCs/>
          <w:sz w:val="21"/>
          <w:szCs w:val="21"/>
          <w:u w:val="single"/>
          <w:lang w:eastAsia="zh-CN"/>
        </w:rPr>
        <w:t>EQUITY BRIDGE FACILITY</w:t>
      </w:r>
      <w:r>
        <w:rPr>
          <w:rFonts w:ascii="Arial" w:hAnsi="Arial" w:cs="Arial"/>
          <w:sz w:val="21"/>
          <w:szCs w:val="21"/>
          <w:lang w:eastAsia="zh-CN"/>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_Toc74860675 \h </w:instrText>
      </w:r>
      <w:r>
        <w:rPr>
          <w:rFonts w:ascii="Arial" w:hAnsi="Arial" w:cs="Arial"/>
          <w:sz w:val="21"/>
          <w:szCs w:val="21"/>
        </w:rPr>
        <w:fldChar w:fldCharType="separate"/>
      </w:r>
      <w:r>
        <w:rPr>
          <w:rFonts w:ascii="Arial" w:hAnsi="Arial" w:cs="Arial"/>
          <w:sz w:val="21"/>
          <w:szCs w:val="21"/>
        </w:rPr>
        <w:t>16</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eastAsia="zh-CN"/>
        </w:rPr>
        <w:t>5.</w:t>
      </w:r>
      <w:r>
        <w:rPr>
          <w:rFonts w:ascii="Arial" w:hAnsi="Arial" w:cs="Arial"/>
          <w:caps w:val="0"/>
          <w:sz w:val="21"/>
          <w:szCs w:val="21"/>
          <w:lang w:val="zh-CN" w:eastAsia="zh-CN"/>
        </w:rPr>
        <w:tab/>
      </w:r>
      <w:r>
        <w:rPr>
          <w:rFonts w:ascii="Arial" w:hAnsi="Arial" w:cs="Arial"/>
          <w:sz w:val="21"/>
          <w:szCs w:val="21"/>
          <w:lang w:eastAsia="zh-CN"/>
        </w:rPr>
        <w:t>[FASILITAS ECA - [</w:t>
      </w:r>
      <w:r>
        <w:rPr>
          <w:rFonts w:ascii="Arial" w:hAnsi="Arial" w:cs="Arial"/>
          <w:i/>
          <w:iCs/>
          <w:sz w:val="21"/>
          <w:szCs w:val="21"/>
          <w:lang w:eastAsia="zh-CN"/>
        </w:rPr>
        <w:t>masukkan nama ECA</w:t>
      </w:r>
      <w:r>
        <w:rPr>
          <w:rFonts w:ascii="Arial" w:hAnsi="Arial" w:cs="Arial"/>
          <w:sz w:val="21"/>
          <w:szCs w:val="21"/>
          <w:lang w:eastAsia="zh-CN"/>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_Toc74860676 \h </w:instrText>
      </w:r>
      <w:r>
        <w:rPr>
          <w:rFonts w:ascii="Arial" w:hAnsi="Arial" w:cs="Arial"/>
          <w:sz w:val="21"/>
          <w:szCs w:val="21"/>
        </w:rPr>
        <w:fldChar w:fldCharType="separate"/>
      </w:r>
      <w:r>
        <w:rPr>
          <w:rFonts w:ascii="Arial" w:hAnsi="Arial" w:cs="Arial"/>
          <w:sz w:val="21"/>
          <w:szCs w:val="21"/>
        </w:rPr>
        <w:t>17</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eastAsia="zh-CN"/>
        </w:rPr>
        <w:t>6.</w:t>
      </w:r>
      <w:r>
        <w:rPr>
          <w:rFonts w:ascii="Arial" w:hAnsi="Arial" w:cs="Arial"/>
          <w:caps w:val="0"/>
          <w:sz w:val="21"/>
          <w:szCs w:val="21"/>
          <w:lang w:val="zh-CN" w:eastAsia="zh-CN"/>
        </w:rPr>
        <w:tab/>
      </w:r>
      <w:r>
        <w:rPr>
          <w:rFonts w:ascii="Arial" w:hAnsi="Arial" w:cs="Arial"/>
          <w:sz w:val="21"/>
          <w:szCs w:val="21"/>
          <w:lang w:eastAsia="zh-CN"/>
        </w:rPr>
        <w:t>[FASILITAS DFI - [</w:t>
      </w:r>
      <w:r>
        <w:rPr>
          <w:rFonts w:ascii="Arial" w:hAnsi="Arial" w:cs="Arial"/>
          <w:i/>
          <w:iCs/>
          <w:sz w:val="21"/>
          <w:szCs w:val="21"/>
          <w:lang w:eastAsia="zh-CN"/>
        </w:rPr>
        <w:t>masukkan nama DFI</w:t>
      </w:r>
      <w:r>
        <w:rPr>
          <w:rFonts w:ascii="Arial" w:hAnsi="Arial" w:cs="Arial"/>
          <w:sz w:val="21"/>
          <w:szCs w:val="21"/>
          <w:lang w:eastAsia="zh-CN"/>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_Toc74860677 \h </w:instrText>
      </w:r>
      <w:r>
        <w:rPr>
          <w:rFonts w:ascii="Arial" w:hAnsi="Arial" w:cs="Arial"/>
          <w:sz w:val="21"/>
          <w:szCs w:val="21"/>
        </w:rPr>
        <w:fldChar w:fldCharType="separate"/>
      </w:r>
      <w:r>
        <w:rPr>
          <w:rFonts w:ascii="Arial" w:hAnsi="Arial" w:cs="Arial"/>
          <w:sz w:val="21"/>
          <w:szCs w:val="21"/>
        </w:rPr>
        <w:t>19</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eastAsia="zh-CN"/>
        </w:rPr>
        <w:t>7.</w:t>
      </w:r>
      <w:r>
        <w:rPr>
          <w:rFonts w:ascii="Arial" w:hAnsi="Arial" w:cs="Arial"/>
          <w:caps w:val="0"/>
          <w:sz w:val="21"/>
          <w:szCs w:val="21"/>
          <w:lang w:val="zh-CN" w:eastAsia="zh-CN"/>
        </w:rPr>
        <w:tab/>
      </w:r>
      <w:r>
        <w:rPr>
          <w:rFonts w:ascii="Arial" w:hAnsi="Arial" w:cs="Arial"/>
          <w:sz w:val="21"/>
          <w:szCs w:val="21"/>
          <w:lang w:eastAsia="zh-CN"/>
        </w:rPr>
        <w:t>[FASILITAS PPN/</w:t>
      </w:r>
      <w:r>
        <w:rPr>
          <w:rFonts w:ascii="Arial" w:hAnsi="Arial" w:cs="Arial"/>
          <w:sz w:val="21"/>
          <w:szCs w:val="21"/>
        </w:rPr>
        <w:t xml:space="preserve"> </w:t>
      </w:r>
      <w:r>
        <w:rPr>
          <w:rFonts w:ascii="Arial" w:hAnsi="Arial" w:cs="Arial"/>
          <w:sz w:val="21"/>
          <w:szCs w:val="21"/>
          <w:lang w:eastAsia="zh-CN"/>
        </w:rPr>
        <w:t>PAJAK BARANG DAN JASA (</w:t>
      </w:r>
      <w:r>
        <w:rPr>
          <w:rFonts w:ascii="Arial" w:hAnsi="Arial" w:cs="Arial"/>
          <w:i/>
          <w:iCs/>
          <w:sz w:val="21"/>
          <w:szCs w:val="21"/>
          <w:lang w:eastAsia="zh-CN"/>
        </w:rPr>
        <w:t>GST</w:t>
      </w:r>
      <w:r>
        <w:rPr>
          <w:rFonts w:ascii="Arial" w:hAnsi="Arial" w:cs="Arial"/>
          <w:sz w:val="21"/>
          <w:szCs w:val="21"/>
          <w:lang w:eastAsia="zh-CN"/>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_Toc74860678 \h </w:instrText>
      </w:r>
      <w:r>
        <w:rPr>
          <w:rFonts w:ascii="Arial" w:hAnsi="Arial" w:cs="Arial"/>
          <w:sz w:val="21"/>
          <w:szCs w:val="21"/>
        </w:rPr>
        <w:fldChar w:fldCharType="separate"/>
      </w:r>
      <w:r>
        <w:rPr>
          <w:rFonts w:ascii="Arial" w:hAnsi="Arial" w:cs="Arial"/>
          <w:sz w:val="21"/>
          <w:szCs w:val="21"/>
        </w:rPr>
        <w:t>20</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8.</w:t>
      </w:r>
      <w:r>
        <w:rPr>
          <w:rFonts w:ascii="Arial" w:hAnsi="Arial" w:cs="Arial"/>
          <w:caps w:val="0"/>
          <w:sz w:val="21"/>
          <w:szCs w:val="21"/>
          <w:lang w:val="zh-CN" w:eastAsia="zh-CN"/>
        </w:rPr>
        <w:tab/>
      </w:r>
      <w:r>
        <w:rPr>
          <w:rFonts w:ascii="Arial" w:hAnsi="Arial" w:cs="Arial"/>
          <w:sz w:val="21"/>
          <w:szCs w:val="21"/>
        </w:rPr>
        <w:t>PEMBAYARAN KEMBALI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_Toc74860679 \h </w:instrText>
      </w:r>
      <w:r>
        <w:rPr>
          <w:rFonts w:ascii="Arial" w:hAnsi="Arial" w:cs="Arial"/>
          <w:sz w:val="21"/>
          <w:szCs w:val="21"/>
        </w:rPr>
        <w:fldChar w:fldCharType="separate"/>
      </w:r>
      <w:r>
        <w:rPr>
          <w:rFonts w:ascii="Arial" w:hAnsi="Arial" w:cs="Arial"/>
          <w:sz w:val="21"/>
          <w:szCs w:val="21"/>
        </w:rPr>
        <w:t>21</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9.</w:t>
      </w:r>
      <w:r>
        <w:rPr>
          <w:rFonts w:ascii="Arial" w:hAnsi="Arial" w:cs="Arial"/>
          <w:caps w:val="0"/>
          <w:sz w:val="21"/>
          <w:szCs w:val="21"/>
          <w:lang w:val="zh-CN" w:eastAsia="zh-CN"/>
        </w:rPr>
        <w:tab/>
      </w:r>
      <w:r>
        <w:rPr>
          <w:rFonts w:ascii="Arial" w:hAnsi="Arial" w:cs="Arial"/>
          <w:sz w:val="21"/>
          <w:szCs w:val="21"/>
          <w:lang w:eastAsia="zh-CN"/>
        </w:rPr>
        <w:t>LINDUNG NILAI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_Toc74860680 \h </w:instrText>
      </w:r>
      <w:r>
        <w:rPr>
          <w:rFonts w:ascii="Arial" w:hAnsi="Arial" w:cs="Arial"/>
          <w:sz w:val="21"/>
          <w:szCs w:val="21"/>
        </w:rPr>
        <w:fldChar w:fldCharType="separate"/>
      </w:r>
      <w:r>
        <w:rPr>
          <w:rFonts w:ascii="Arial" w:hAnsi="Arial" w:cs="Arial"/>
          <w:sz w:val="21"/>
          <w:szCs w:val="21"/>
        </w:rPr>
        <w:t>22</w:t>
      </w:r>
      <w:r>
        <w:rPr>
          <w:rFonts w:ascii="Arial" w:hAnsi="Arial" w:cs="Arial"/>
          <w:sz w:val="21"/>
          <w:szCs w:val="21"/>
        </w:rPr>
        <w:fldChar w:fldCharType="end"/>
      </w:r>
    </w:p>
    <w:p>
      <w:pPr>
        <w:pStyle w:val="34"/>
        <w:tabs>
          <w:tab w:val="right" w:leader="dot" w:pos="8657"/>
        </w:tabs>
        <w:spacing w:after="120"/>
        <w:rPr>
          <w:rFonts w:cs="Arial"/>
          <w:caps w:val="0"/>
          <w:szCs w:val="21"/>
          <w:lang w:val="zh-CN" w:eastAsia="zh-CN"/>
        </w:rPr>
      </w:pPr>
      <w:r>
        <w:rPr>
          <w:rFonts w:cs="Arial"/>
          <w:bCs/>
          <w:caps w:val="0"/>
          <w:szCs w:val="21"/>
        </w:rPr>
        <w:t>D.</w:t>
      </w:r>
      <w:r>
        <w:rPr>
          <w:rFonts w:cs="Arial"/>
          <w:caps w:val="0"/>
          <w:szCs w:val="21"/>
          <w:lang w:val="zh-CN" w:eastAsia="zh-CN"/>
        </w:rPr>
        <w:tab/>
      </w:r>
      <w:r>
        <w:rPr>
          <w:rFonts w:cs="Arial"/>
          <w:szCs w:val="21"/>
        </w:rPr>
        <w:t>KETENTUAN-KETENTUAN LAIN</w:t>
      </w:r>
      <w:r>
        <w:rPr>
          <w:rFonts w:cs="Arial"/>
          <w:szCs w:val="21"/>
        </w:rPr>
        <w:tab/>
      </w:r>
      <w:r>
        <w:rPr>
          <w:rFonts w:cs="Arial"/>
          <w:szCs w:val="21"/>
        </w:rPr>
        <w:fldChar w:fldCharType="begin"/>
      </w:r>
      <w:r>
        <w:rPr>
          <w:rFonts w:cs="Arial"/>
          <w:szCs w:val="21"/>
        </w:rPr>
        <w:instrText xml:space="preserve"> PAGEREF _Toc74860681 \h </w:instrText>
      </w:r>
      <w:r>
        <w:rPr>
          <w:rFonts w:cs="Arial"/>
          <w:szCs w:val="21"/>
        </w:rPr>
        <w:fldChar w:fldCharType="separate"/>
      </w:r>
      <w:r>
        <w:rPr>
          <w:rFonts w:cs="Arial"/>
          <w:szCs w:val="21"/>
        </w:rPr>
        <w:t>23</w:t>
      </w:r>
      <w:r>
        <w:rPr>
          <w:rFonts w:cs="Arial"/>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1.</w:t>
      </w:r>
      <w:r>
        <w:rPr>
          <w:rFonts w:ascii="Arial" w:hAnsi="Arial" w:cs="Arial"/>
          <w:caps w:val="0"/>
          <w:sz w:val="21"/>
          <w:szCs w:val="21"/>
          <w:lang w:val="zh-CN" w:eastAsia="zh-CN"/>
        </w:rPr>
        <w:tab/>
      </w:r>
      <w:r>
        <w:rPr>
          <w:rFonts w:ascii="Arial" w:hAnsi="Arial" w:cs="Arial"/>
          <w:sz w:val="21"/>
          <w:szCs w:val="21"/>
        </w:rPr>
        <w:t>Dokumen</w:t>
      </w:r>
      <w:r>
        <w:rPr>
          <w:rFonts w:ascii="Arial" w:hAnsi="Arial" w:cs="Arial"/>
          <w:sz w:val="21"/>
          <w:szCs w:val="21"/>
          <w:lang w:val="en-US"/>
        </w:rPr>
        <w:t>-dokumen</w:t>
      </w:r>
      <w:r>
        <w:rPr>
          <w:rFonts w:ascii="Arial" w:hAnsi="Arial" w:cs="Arial"/>
          <w:sz w:val="21"/>
          <w:szCs w:val="21"/>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_Toc74860682 \h </w:instrText>
      </w:r>
      <w:r>
        <w:rPr>
          <w:rFonts w:ascii="Arial" w:hAnsi="Arial" w:cs="Arial"/>
          <w:sz w:val="21"/>
          <w:szCs w:val="21"/>
        </w:rPr>
        <w:fldChar w:fldCharType="separate"/>
      </w:r>
      <w:r>
        <w:rPr>
          <w:rFonts w:ascii="Arial" w:hAnsi="Arial" w:cs="Arial"/>
          <w:sz w:val="21"/>
          <w:szCs w:val="21"/>
        </w:rPr>
        <w:t>23</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2.</w:t>
      </w:r>
      <w:r>
        <w:rPr>
          <w:rFonts w:ascii="Arial" w:hAnsi="Arial" w:cs="Arial"/>
          <w:caps w:val="0"/>
          <w:sz w:val="21"/>
          <w:szCs w:val="21"/>
          <w:lang w:val="zh-CN" w:eastAsia="zh-CN"/>
        </w:rPr>
        <w:tab/>
      </w:r>
      <w:r>
        <w:rPr>
          <w:rFonts w:ascii="Arial" w:hAnsi="Arial" w:cs="Arial"/>
          <w:sz w:val="21"/>
          <w:szCs w:val="21"/>
        </w:rPr>
        <w:t>Percepatan Pelunasan dan Pembatalan: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_Toc74860683 \h </w:instrText>
      </w:r>
      <w:r>
        <w:rPr>
          <w:rFonts w:ascii="Arial" w:hAnsi="Arial" w:cs="Arial"/>
          <w:sz w:val="21"/>
          <w:szCs w:val="21"/>
        </w:rPr>
        <w:fldChar w:fldCharType="separate"/>
      </w:r>
      <w:r>
        <w:rPr>
          <w:rFonts w:ascii="Arial" w:hAnsi="Arial" w:cs="Arial"/>
          <w:sz w:val="21"/>
          <w:szCs w:val="21"/>
        </w:rPr>
        <w:t>23</w:t>
      </w:r>
      <w:r>
        <w:rPr>
          <w:rFonts w:ascii="Arial" w:hAnsi="Arial" w:cs="Arial"/>
          <w:sz w:val="21"/>
          <w:szCs w:val="21"/>
        </w:rPr>
        <w:fldChar w:fldCharType="end"/>
      </w:r>
    </w:p>
    <w:p>
      <w:pPr>
        <w:pStyle w:val="35"/>
        <w:spacing w:after="120"/>
        <w:ind w:left="1440" w:hanging="720"/>
        <w:rPr>
          <w:rFonts w:ascii="Arial" w:hAnsi="Arial" w:cs="Arial"/>
          <w:caps w:val="0"/>
          <w:sz w:val="21"/>
          <w:szCs w:val="21"/>
          <w:lang w:val="zh-CN" w:eastAsia="zh-CN"/>
        </w:rPr>
      </w:pPr>
      <w:r>
        <w:rPr>
          <w:rFonts w:ascii="Arial" w:hAnsi="Arial" w:cs="Arial"/>
          <w:bCs/>
          <w:sz w:val="21"/>
          <w:szCs w:val="21"/>
        </w:rPr>
        <w:t>3.</w:t>
      </w:r>
      <w:r>
        <w:rPr>
          <w:rFonts w:ascii="Arial" w:hAnsi="Arial" w:cs="Arial"/>
          <w:caps w:val="0"/>
          <w:sz w:val="21"/>
          <w:szCs w:val="21"/>
          <w:lang w:val="zh-CN" w:eastAsia="zh-CN"/>
        </w:rPr>
        <w:tab/>
      </w:r>
      <w:r>
        <w:rPr>
          <w:rFonts w:ascii="Arial" w:hAnsi="Arial" w:cs="Arial"/>
          <w:sz w:val="21"/>
          <w:szCs w:val="21"/>
        </w:rPr>
        <w:t>Hasil-hasil klaim asuransi dan Ganti Rugi Yang Ditetapkan Nilainya Atas Kegagalan Kinerja:</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_Toc74860684 \h </w:instrText>
      </w:r>
      <w:r>
        <w:rPr>
          <w:rFonts w:ascii="Arial" w:hAnsi="Arial" w:cs="Arial"/>
          <w:sz w:val="21"/>
          <w:szCs w:val="21"/>
        </w:rPr>
        <w:fldChar w:fldCharType="separate"/>
      </w:r>
      <w:r>
        <w:rPr>
          <w:rFonts w:ascii="Arial" w:hAnsi="Arial" w:cs="Arial"/>
          <w:sz w:val="21"/>
          <w:szCs w:val="21"/>
        </w:rPr>
        <w:t>28</w:t>
      </w:r>
      <w:r>
        <w:rPr>
          <w:rFonts w:ascii="Arial" w:hAnsi="Arial" w:cs="Arial"/>
          <w:sz w:val="21"/>
          <w:szCs w:val="21"/>
        </w:rPr>
        <w:fldChar w:fldCharType="end"/>
      </w:r>
    </w:p>
    <w:p>
      <w:pPr>
        <w:pStyle w:val="34"/>
        <w:tabs>
          <w:tab w:val="right" w:leader="dot" w:pos="8657"/>
        </w:tabs>
        <w:spacing w:after="120"/>
        <w:rPr>
          <w:rFonts w:cs="Arial"/>
          <w:caps w:val="0"/>
          <w:szCs w:val="21"/>
          <w:lang w:val="zh-CN" w:eastAsia="zh-CN"/>
        </w:rPr>
      </w:pPr>
      <w:r>
        <w:rPr>
          <w:rFonts w:eastAsia="Times New Roman" w:cs="Arial"/>
          <w:bCs/>
          <w:caps w:val="0"/>
          <w:szCs w:val="21"/>
        </w:rPr>
        <w:t>E.</w:t>
      </w:r>
      <w:r>
        <w:rPr>
          <w:rFonts w:cs="Arial"/>
          <w:caps w:val="0"/>
          <w:szCs w:val="21"/>
          <w:lang w:val="zh-CN" w:eastAsia="zh-CN"/>
        </w:rPr>
        <w:tab/>
      </w:r>
      <w:r>
        <w:rPr>
          <w:rFonts w:eastAsia="Times New Roman" w:cs="Arial"/>
          <w:szCs w:val="21"/>
        </w:rPr>
        <w:t>KETENTUAN-KETENTUAN UMUM</w:t>
      </w:r>
      <w:r>
        <w:rPr>
          <w:rFonts w:cs="Arial"/>
          <w:szCs w:val="21"/>
        </w:rPr>
        <w:tab/>
      </w:r>
      <w:r>
        <w:rPr>
          <w:rFonts w:cs="Arial"/>
          <w:szCs w:val="21"/>
        </w:rPr>
        <w:fldChar w:fldCharType="begin"/>
      </w:r>
      <w:r>
        <w:rPr>
          <w:rFonts w:cs="Arial"/>
          <w:szCs w:val="21"/>
        </w:rPr>
        <w:instrText xml:space="preserve"> PAGEREF _Toc74860685 \h </w:instrText>
      </w:r>
      <w:r>
        <w:rPr>
          <w:rFonts w:cs="Arial"/>
          <w:szCs w:val="21"/>
        </w:rPr>
        <w:fldChar w:fldCharType="separate"/>
      </w:r>
      <w:r>
        <w:rPr>
          <w:rFonts w:cs="Arial"/>
          <w:szCs w:val="21"/>
        </w:rPr>
        <w:t>30</w:t>
      </w:r>
      <w:r>
        <w:rPr>
          <w:rFonts w:cs="Arial"/>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1.</w:t>
      </w:r>
      <w:r>
        <w:rPr>
          <w:rFonts w:ascii="Arial" w:hAnsi="Arial" w:cs="Arial"/>
          <w:caps w:val="0"/>
          <w:sz w:val="21"/>
          <w:szCs w:val="21"/>
          <w:lang w:val="zh-CN" w:eastAsia="zh-CN"/>
        </w:rPr>
        <w:tab/>
      </w:r>
      <w:r>
        <w:rPr>
          <w:rFonts w:ascii="Arial" w:hAnsi="Arial" w:cs="Arial"/>
          <w:sz w:val="21"/>
          <w:szCs w:val="21"/>
        </w:rPr>
        <w:t>Dokumen-dokumen Pembiayaan: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_Toc74860686 \h </w:instrText>
      </w:r>
      <w:r>
        <w:rPr>
          <w:rFonts w:ascii="Arial" w:hAnsi="Arial" w:cs="Arial"/>
          <w:sz w:val="21"/>
          <w:szCs w:val="21"/>
        </w:rPr>
        <w:fldChar w:fldCharType="separate"/>
      </w:r>
      <w:r>
        <w:rPr>
          <w:rFonts w:ascii="Arial" w:hAnsi="Arial" w:cs="Arial"/>
          <w:sz w:val="21"/>
          <w:szCs w:val="21"/>
        </w:rPr>
        <w:t>30</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2.</w:t>
      </w:r>
      <w:r>
        <w:rPr>
          <w:rFonts w:ascii="Arial" w:hAnsi="Arial" w:cs="Arial"/>
          <w:caps w:val="0"/>
          <w:sz w:val="21"/>
          <w:szCs w:val="21"/>
          <w:lang w:val="zh-CN" w:eastAsia="zh-CN"/>
        </w:rPr>
        <w:tab/>
      </w:r>
      <w:r>
        <w:rPr>
          <w:rFonts w:ascii="Arial" w:hAnsi="Arial" w:cs="Arial"/>
          <w:sz w:val="21"/>
          <w:szCs w:val="21"/>
        </w:rPr>
        <w:t>Dokumen-dokumen Jaminan: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_Toc74860687 \h </w:instrText>
      </w:r>
      <w:r>
        <w:rPr>
          <w:rFonts w:ascii="Arial" w:hAnsi="Arial" w:cs="Arial"/>
          <w:sz w:val="21"/>
          <w:szCs w:val="21"/>
        </w:rPr>
        <w:fldChar w:fldCharType="separate"/>
      </w:r>
      <w:r>
        <w:rPr>
          <w:rFonts w:ascii="Arial" w:hAnsi="Arial" w:cs="Arial"/>
          <w:sz w:val="21"/>
          <w:szCs w:val="21"/>
        </w:rPr>
        <w:t>30</w:t>
      </w:r>
      <w:r>
        <w:rPr>
          <w:rFonts w:ascii="Arial" w:hAnsi="Arial" w:cs="Arial"/>
          <w:sz w:val="21"/>
          <w:szCs w:val="21"/>
        </w:rPr>
        <w:fldChar w:fldCharType="end"/>
      </w:r>
    </w:p>
    <w:p>
      <w:pPr>
        <w:pStyle w:val="34"/>
        <w:tabs>
          <w:tab w:val="right" w:leader="dot" w:pos="8657"/>
        </w:tabs>
        <w:spacing w:after="120"/>
        <w:rPr>
          <w:rFonts w:cs="Arial"/>
          <w:caps w:val="0"/>
          <w:szCs w:val="21"/>
          <w:lang w:val="zh-CN" w:eastAsia="zh-CN"/>
        </w:rPr>
      </w:pPr>
      <w:r>
        <w:rPr>
          <w:rFonts w:cs="Arial"/>
          <w:bCs/>
          <w:caps w:val="0"/>
          <w:szCs w:val="21"/>
        </w:rPr>
        <w:t>F.</w:t>
      </w:r>
      <w:r>
        <w:rPr>
          <w:rFonts w:cs="Arial"/>
          <w:caps w:val="0"/>
          <w:szCs w:val="21"/>
          <w:lang w:val="zh-CN" w:eastAsia="zh-CN"/>
        </w:rPr>
        <w:tab/>
      </w:r>
      <w:r>
        <w:rPr>
          <w:rFonts w:cs="Arial"/>
          <w:szCs w:val="21"/>
        </w:rPr>
        <w:t>REKENING-REKENING PROYEK</w:t>
      </w:r>
      <w:r>
        <w:rPr>
          <w:rFonts w:cs="Arial"/>
          <w:szCs w:val="21"/>
        </w:rPr>
        <w:tab/>
      </w:r>
      <w:r>
        <w:rPr>
          <w:rFonts w:cs="Arial"/>
          <w:szCs w:val="21"/>
        </w:rPr>
        <w:fldChar w:fldCharType="begin"/>
      </w:r>
      <w:r>
        <w:rPr>
          <w:rFonts w:cs="Arial"/>
          <w:szCs w:val="21"/>
        </w:rPr>
        <w:instrText xml:space="preserve"> PAGEREF _Toc74860688 \h </w:instrText>
      </w:r>
      <w:r>
        <w:rPr>
          <w:rFonts w:cs="Arial"/>
          <w:szCs w:val="21"/>
        </w:rPr>
        <w:fldChar w:fldCharType="separate"/>
      </w:r>
      <w:r>
        <w:rPr>
          <w:rFonts w:cs="Arial"/>
          <w:szCs w:val="21"/>
        </w:rPr>
        <w:t>32</w:t>
      </w:r>
      <w:r>
        <w:rPr>
          <w:rFonts w:cs="Arial"/>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1.</w:t>
      </w:r>
      <w:r>
        <w:rPr>
          <w:rFonts w:ascii="Arial" w:hAnsi="Arial" w:cs="Arial"/>
          <w:caps w:val="0"/>
          <w:sz w:val="21"/>
          <w:szCs w:val="21"/>
          <w:lang w:val="zh-CN" w:eastAsia="zh-CN"/>
        </w:rPr>
        <w:tab/>
      </w:r>
      <w:r>
        <w:rPr>
          <w:rFonts w:ascii="Arial" w:hAnsi="Arial" w:cs="Arial"/>
          <w:sz w:val="21"/>
          <w:szCs w:val="21"/>
        </w:rPr>
        <w:t>Rekening-rekening Proyek:</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_Toc74860689 \h </w:instrText>
      </w:r>
      <w:r>
        <w:rPr>
          <w:rFonts w:ascii="Arial" w:hAnsi="Arial" w:cs="Arial"/>
          <w:sz w:val="21"/>
          <w:szCs w:val="21"/>
        </w:rPr>
        <w:fldChar w:fldCharType="separate"/>
      </w:r>
      <w:r>
        <w:rPr>
          <w:rFonts w:ascii="Arial" w:hAnsi="Arial" w:cs="Arial"/>
          <w:sz w:val="21"/>
          <w:szCs w:val="21"/>
        </w:rPr>
        <w:t>32</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2.</w:t>
      </w:r>
      <w:r>
        <w:rPr>
          <w:rFonts w:ascii="Arial" w:hAnsi="Arial" w:cs="Arial"/>
          <w:caps w:val="0"/>
          <w:sz w:val="21"/>
          <w:szCs w:val="21"/>
          <w:lang w:val="zh-CN" w:eastAsia="zh-CN"/>
        </w:rPr>
        <w:tab/>
      </w:r>
      <w:r>
        <w:rPr>
          <w:rFonts w:ascii="Arial" w:hAnsi="Arial" w:cs="Arial"/>
          <w:sz w:val="21"/>
          <w:szCs w:val="21"/>
        </w:rPr>
        <w:t>Rekening Pencairan: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_Toc74860690 \h </w:instrText>
      </w:r>
      <w:r>
        <w:rPr>
          <w:rFonts w:ascii="Arial" w:hAnsi="Arial" w:cs="Arial"/>
          <w:sz w:val="21"/>
          <w:szCs w:val="21"/>
        </w:rPr>
        <w:fldChar w:fldCharType="separate"/>
      </w:r>
      <w:r>
        <w:rPr>
          <w:rFonts w:ascii="Arial" w:hAnsi="Arial" w:cs="Arial"/>
          <w:sz w:val="21"/>
          <w:szCs w:val="21"/>
        </w:rPr>
        <w:t>32</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3.</w:t>
      </w:r>
      <w:r>
        <w:rPr>
          <w:rFonts w:ascii="Arial" w:hAnsi="Arial" w:cs="Arial"/>
          <w:caps w:val="0"/>
          <w:sz w:val="21"/>
          <w:szCs w:val="21"/>
          <w:lang w:val="zh-CN" w:eastAsia="zh-CN"/>
        </w:rPr>
        <w:tab/>
      </w:r>
      <w:r>
        <w:rPr>
          <w:rFonts w:ascii="Arial" w:hAnsi="Arial" w:cs="Arial"/>
          <w:sz w:val="21"/>
          <w:szCs w:val="21"/>
        </w:rPr>
        <w:t>Rekening Operasional:</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_Toc74860691 \h </w:instrText>
      </w:r>
      <w:r>
        <w:rPr>
          <w:rFonts w:ascii="Arial" w:hAnsi="Arial" w:cs="Arial"/>
          <w:sz w:val="21"/>
          <w:szCs w:val="21"/>
        </w:rPr>
        <w:fldChar w:fldCharType="separate"/>
      </w:r>
      <w:r>
        <w:rPr>
          <w:rFonts w:ascii="Arial" w:hAnsi="Arial" w:cs="Arial"/>
          <w:sz w:val="21"/>
          <w:szCs w:val="21"/>
        </w:rPr>
        <w:t>33</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4.</w:t>
      </w:r>
      <w:r>
        <w:rPr>
          <w:rFonts w:ascii="Arial" w:hAnsi="Arial" w:cs="Arial"/>
          <w:caps w:val="0"/>
          <w:sz w:val="21"/>
          <w:szCs w:val="21"/>
          <w:lang w:val="zh-CN" w:eastAsia="zh-CN"/>
        </w:rPr>
        <w:tab/>
      </w:r>
      <w:r>
        <w:rPr>
          <w:rFonts w:ascii="Arial" w:hAnsi="Arial" w:cs="Arial"/>
          <w:sz w:val="21"/>
          <w:szCs w:val="21"/>
        </w:rPr>
        <w:t>Rekening Kompensasi dan Hasil-hasil Klaim Asuransi: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_Toc74860692 \h </w:instrText>
      </w:r>
      <w:r>
        <w:rPr>
          <w:rFonts w:ascii="Arial" w:hAnsi="Arial" w:cs="Arial"/>
          <w:sz w:val="21"/>
          <w:szCs w:val="21"/>
        </w:rPr>
        <w:fldChar w:fldCharType="separate"/>
      </w:r>
      <w:r>
        <w:rPr>
          <w:rFonts w:ascii="Arial" w:hAnsi="Arial" w:cs="Arial"/>
          <w:sz w:val="21"/>
          <w:szCs w:val="21"/>
        </w:rPr>
        <w:t>33</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5.</w:t>
      </w:r>
      <w:r>
        <w:rPr>
          <w:rFonts w:ascii="Arial" w:hAnsi="Arial" w:cs="Arial"/>
          <w:caps w:val="0"/>
          <w:sz w:val="21"/>
          <w:szCs w:val="21"/>
          <w:lang w:val="zh-CN" w:eastAsia="zh-CN"/>
        </w:rPr>
        <w:tab/>
      </w:r>
      <w:r>
        <w:rPr>
          <w:rFonts w:ascii="Arial" w:hAnsi="Arial" w:cs="Arial"/>
          <w:i/>
          <w:sz w:val="21"/>
          <w:szCs w:val="21"/>
        </w:rPr>
        <w:t>Debt Service Reserve Account</w:t>
      </w:r>
      <w:r>
        <w:rPr>
          <w:rFonts w:ascii="Arial" w:hAnsi="Arial" w:cs="Arial"/>
          <w:sz w:val="21"/>
          <w:szCs w:val="21"/>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_Toc74860693 \h </w:instrText>
      </w:r>
      <w:r>
        <w:rPr>
          <w:rFonts w:ascii="Arial" w:hAnsi="Arial" w:cs="Arial"/>
          <w:sz w:val="21"/>
          <w:szCs w:val="21"/>
        </w:rPr>
        <w:fldChar w:fldCharType="separate"/>
      </w:r>
      <w:r>
        <w:rPr>
          <w:rFonts w:ascii="Arial" w:hAnsi="Arial" w:cs="Arial"/>
          <w:sz w:val="21"/>
          <w:szCs w:val="21"/>
        </w:rPr>
        <w:t>33</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6.</w:t>
      </w:r>
      <w:r>
        <w:rPr>
          <w:rFonts w:ascii="Arial" w:hAnsi="Arial" w:cs="Arial"/>
          <w:caps w:val="0"/>
          <w:sz w:val="21"/>
          <w:szCs w:val="21"/>
          <w:lang w:val="zh-CN" w:eastAsia="zh-CN"/>
        </w:rPr>
        <w:tab/>
      </w:r>
      <w:r>
        <w:rPr>
          <w:rFonts w:ascii="Arial" w:hAnsi="Arial" w:cs="Arial"/>
          <w:sz w:val="21"/>
          <w:szCs w:val="21"/>
        </w:rPr>
        <w:t>[</w:t>
      </w:r>
      <w:r>
        <w:rPr>
          <w:rFonts w:ascii="Arial" w:hAnsi="Arial" w:cs="Arial"/>
          <w:i/>
          <w:sz w:val="21"/>
          <w:szCs w:val="21"/>
        </w:rPr>
        <w:t>Maintenance Reserve Account</w:t>
      </w:r>
      <w:r>
        <w:rPr>
          <w:rFonts w:ascii="Arial" w:hAnsi="Arial" w:cs="Arial"/>
          <w:sz w:val="21"/>
          <w:szCs w:val="21"/>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_Toc74860694 \h </w:instrText>
      </w:r>
      <w:r>
        <w:rPr>
          <w:rFonts w:ascii="Arial" w:hAnsi="Arial" w:cs="Arial"/>
          <w:sz w:val="21"/>
          <w:szCs w:val="21"/>
        </w:rPr>
        <w:fldChar w:fldCharType="separate"/>
      </w:r>
      <w:r>
        <w:rPr>
          <w:rFonts w:ascii="Arial" w:hAnsi="Arial" w:cs="Arial"/>
          <w:sz w:val="21"/>
          <w:szCs w:val="21"/>
        </w:rPr>
        <w:t>34</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7.</w:t>
      </w:r>
      <w:r>
        <w:rPr>
          <w:rFonts w:ascii="Arial" w:hAnsi="Arial" w:cs="Arial"/>
          <w:caps w:val="0"/>
          <w:sz w:val="21"/>
          <w:szCs w:val="21"/>
          <w:lang w:val="zh-CN" w:eastAsia="zh-CN"/>
        </w:rPr>
        <w:tab/>
      </w:r>
      <w:r>
        <w:rPr>
          <w:rFonts w:ascii="Arial" w:hAnsi="Arial" w:cs="Arial"/>
          <w:sz w:val="21"/>
          <w:szCs w:val="21"/>
        </w:rPr>
        <w:t>Rekening Distribusi: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_Toc74860695 \h </w:instrText>
      </w:r>
      <w:r>
        <w:rPr>
          <w:rFonts w:ascii="Arial" w:hAnsi="Arial" w:cs="Arial"/>
          <w:sz w:val="21"/>
          <w:szCs w:val="21"/>
        </w:rPr>
        <w:fldChar w:fldCharType="separate"/>
      </w:r>
      <w:r>
        <w:rPr>
          <w:rFonts w:ascii="Arial" w:hAnsi="Arial" w:cs="Arial"/>
          <w:sz w:val="21"/>
          <w:szCs w:val="21"/>
        </w:rPr>
        <w:t>34</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8.</w:t>
      </w:r>
      <w:r>
        <w:rPr>
          <w:rFonts w:ascii="Arial" w:hAnsi="Arial" w:cs="Arial"/>
          <w:caps w:val="0"/>
          <w:sz w:val="21"/>
          <w:szCs w:val="21"/>
          <w:lang w:val="zh-CN" w:eastAsia="zh-CN"/>
        </w:rPr>
        <w:tab/>
      </w:r>
      <w:r>
        <w:rPr>
          <w:rFonts w:ascii="Arial" w:hAnsi="Arial" w:cs="Arial"/>
          <w:i/>
          <w:iCs/>
          <w:sz w:val="21"/>
          <w:szCs w:val="21"/>
        </w:rPr>
        <w:t>Cash Flow Waterfal</w:t>
      </w:r>
      <w:r>
        <w:rPr>
          <w:rFonts w:ascii="Arial" w:hAnsi="Arial" w:cs="Arial"/>
          <w:sz w:val="21"/>
          <w:szCs w:val="21"/>
        </w:rPr>
        <w:t>l:</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_Toc74860696 \h </w:instrText>
      </w:r>
      <w:r>
        <w:rPr>
          <w:rFonts w:ascii="Arial" w:hAnsi="Arial" w:cs="Arial"/>
          <w:sz w:val="21"/>
          <w:szCs w:val="21"/>
        </w:rPr>
        <w:fldChar w:fldCharType="separate"/>
      </w:r>
      <w:r>
        <w:rPr>
          <w:rFonts w:ascii="Arial" w:hAnsi="Arial" w:cs="Arial"/>
          <w:sz w:val="21"/>
          <w:szCs w:val="21"/>
        </w:rPr>
        <w:t>34</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9.</w:t>
      </w:r>
      <w:r>
        <w:rPr>
          <w:rFonts w:ascii="Arial" w:hAnsi="Arial" w:cs="Arial"/>
          <w:caps w:val="0"/>
          <w:sz w:val="21"/>
          <w:szCs w:val="21"/>
          <w:lang w:val="zh-CN" w:eastAsia="zh-CN"/>
        </w:rPr>
        <w:tab/>
      </w:r>
      <w:r>
        <w:rPr>
          <w:rFonts w:ascii="Arial" w:hAnsi="Arial" w:cs="Arial"/>
          <w:sz w:val="21"/>
          <w:szCs w:val="21"/>
        </w:rPr>
        <w:t>[Dukungan Kredit Yang Dapat Diterima]:</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_Toc74860697 \h </w:instrText>
      </w:r>
      <w:r>
        <w:rPr>
          <w:rFonts w:ascii="Arial" w:hAnsi="Arial" w:cs="Arial"/>
          <w:sz w:val="21"/>
          <w:szCs w:val="21"/>
        </w:rPr>
        <w:fldChar w:fldCharType="separate"/>
      </w:r>
      <w:r>
        <w:rPr>
          <w:rFonts w:ascii="Arial" w:hAnsi="Arial" w:cs="Arial"/>
          <w:sz w:val="21"/>
          <w:szCs w:val="21"/>
        </w:rPr>
        <w:t>35</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10.</w:t>
      </w:r>
      <w:r>
        <w:rPr>
          <w:rFonts w:ascii="Arial" w:hAnsi="Arial" w:cs="Arial"/>
          <w:caps w:val="0"/>
          <w:sz w:val="21"/>
          <w:szCs w:val="21"/>
          <w:lang w:val="zh-CN" w:eastAsia="zh-CN"/>
        </w:rPr>
        <w:tab/>
      </w:r>
      <w:r>
        <w:rPr>
          <w:rFonts w:ascii="Arial" w:hAnsi="Arial" w:cs="Arial"/>
          <w:sz w:val="21"/>
          <w:szCs w:val="21"/>
        </w:rPr>
        <w:t>Pengujian-pengujian Distribusi: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_Toc74860698 \h </w:instrText>
      </w:r>
      <w:r>
        <w:rPr>
          <w:rFonts w:ascii="Arial" w:hAnsi="Arial" w:cs="Arial"/>
          <w:sz w:val="21"/>
          <w:szCs w:val="21"/>
        </w:rPr>
        <w:fldChar w:fldCharType="separate"/>
      </w:r>
      <w:r>
        <w:rPr>
          <w:rFonts w:ascii="Arial" w:hAnsi="Arial" w:cs="Arial"/>
          <w:sz w:val="21"/>
          <w:szCs w:val="21"/>
        </w:rPr>
        <w:t>36</w:t>
      </w:r>
      <w:r>
        <w:rPr>
          <w:rFonts w:ascii="Arial" w:hAnsi="Arial" w:cs="Arial"/>
          <w:sz w:val="21"/>
          <w:szCs w:val="21"/>
        </w:rPr>
        <w:fldChar w:fldCharType="end"/>
      </w:r>
    </w:p>
    <w:p>
      <w:pPr>
        <w:pStyle w:val="34"/>
        <w:tabs>
          <w:tab w:val="right" w:leader="dot" w:pos="8657"/>
        </w:tabs>
        <w:spacing w:after="120"/>
        <w:rPr>
          <w:rFonts w:cs="Arial"/>
          <w:caps w:val="0"/>
          <w:szCs w:val="21"/>
          <w:lang w:val="zh-CN" w:eastAsia="zh-CN"/>
        </w:rPr>
      </w:pPr>
      <w:r>
        <w:rPr>
          <w:rFonts w:eastAsia="Times New Roman" w:cs="Arial"/>
          <w:bCs/>
          <w:caps w:val="0"/>
          <w:szCs w:val="21"/>
        </w:rPr>
        <w:t>G.</w:t>
      </w:r>
      <w:r>
        <w:rPr>
          <w:rFonts w:cs="Arial"/>
          <w:caps w:val="0"/>
          <w:szCs w:val="21"/>
          <w:lang w:val="zh-CN" w:eastAsia="zh-CN"/>
        </w:rPr>
        <w:tab/>
      </w:r>
      <w:r>
        <w:rPr>
          <w:rFonts w:eastAsia="Times New Roman" w:cs="Arial"/>
          <w:i/>
          <w:szCs w:val="21"/>
        </w:rPr>
        <w:t>FINANCIAL MODEL</w:t>
      </w:r>
      <w:r>
        <w:rPr>
          <w:rFonts w:eastAsia="Times New Roman" w:cs="Arial"/>
          <w:szCs w:val="21"/>
        </w:rPr>
        <w:t>, KASUS DASAR, LAPORAN</w:t>
      </w:r>
      <w:r>
        <w:rPr>
          <w:rFonts w:eastAsia="Times New Roman" w:cs="Arial"/>
          <w:szCs w:val="21"/>
          <w:lang w:val="en-US"/>
        </w:rPr>
        <w:t xml:space="preserve"> </w:t>
      </w:r>
      <w:r>
        <w:rPr>
          <w:rFonts w:eastAsia="Times New Roman" w:cs="Arial"/>
          <w:szCs w:val="21"/>
        </w:rPr>
        <w:t>KEUANGAN DAN RASIO-RASIO</w:t>
      </w:r>
      <w:r>
        <w:rPr>
          <w:rFonts w:cs="Arial"/>
          <w:szCs w:val="21"/>
        </w:rPr>
        <w:tab/>
      </w:r>
      <w:r>
        <w:rPr>
          <w:rFonts w:cs="Arial"/>
          <w:szCs w:val="21"/>
        </w:rPr>
        <w:fldChar w:fldCharType="begin"/>
      </w:r>
      <w:r>
        <w:rPr>
          <w:rFonts w:cs="Arial"/>
          <w:szCs w:val="21"/>
        </w:rPr>
        <w:instrText xml:space="preserve"> PAGEREF _Toc74860699 \h </w:instrText>
      </w:r>
      <w:r>
        <w:rPr>
          <w:rFonts w:cs="Arial"/>
          <w:szCs w:val="21"/>
        </w:rPr>
        <w:fldChar w:fldCharType="separate"/>
      </w:r>
      <w:r>
        <w:rPr>
          <w:rFonts w:cs="Arial"/>
          <w:szCs w:val="21"/>
        </w:rPr>
        <w:t>38</w:t>
      </w:r>
      <w:r>
        <w:rPr>
          <w:rFonts w:cs="Arial"/>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1.</w:t>
      </w:r>
      <w:r>
        <w:rPr>
          <w:rFonts w:ascii="Arial" w:hAnsi="Arial" w:cs="Arial"/>
          <w:caps w:val="0"/>
          <w:sz w:val="21"/>
          <w:szCs w:val="21"/>
          <w:lang w:val="zh-CN" w:eastAsia="zh-CN"/>
        </w:rPr>
        <w:tab/>
      </w:r>
      <w:r>
        <w:rPr>
          <w:rFonts w:ascii="Arial" w:hAnsi="Arial" w:cs="Arial"/>
          <w:i/>
          <w:sz w:val="21"/>
          <w:szCs w:val="21"/>
        </w:rPr>
        <w:t>Financial Model</w:t>
      </w:r>
      <w:r>
        <w:rPr>
          <w:rFonts w:ascii="Arial" w:hAnsi="Arial" w:cs="Arial"/>
          <w:sz w:val="21"/>
          <w:szCs w:val="21"/>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_Toc74860700 \h </w:instrText>
      </w:r>
      <w:r>
        <w:rPr>
          <w:rFonts w:ascii="Arial" w:hAnsi="Arial" w:cs="Arial"/>
          <w:sz w:val="21"/>
          <w:szCs w:val="21"/>
        </w:rPr>
        <w:fldChar w:fldCharType="separate"/>
      </w:r>
      <w:r>
        <w:rPr>
          <w:rFonts w:ascii="Arial" w:hAnsi="Arial" w:cs="Arial"/>
          <w:sz w:val="21"/>
          <w:szCs w:val="21"/>
        </w:rPr>
        <w:t>38</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2.</w:t>
      </w:r>
      <w:r>
        <w:rPr>
          <w:rFonts w:ascii="Arial" w:hAnsi="Arial" w:cs="Arial"/>
          <w:caps w:val="0"/>
          <w:sz w:val="21"/>
          <w:szCs w:val="21"/>
          <w:lang w:val="zh-CN" w:eastAsia="zh-CN"/>
        </w:rPr>
        <w:tab/>
      </w:r>
      <w:r>
        <w:rPr>
          <w:rFonts w:ascii="Arial" w:hAnsi="Arial" w:cs="Arial"/>
          <w:sz w:val="21"/>
          <w:szCs w:val="21"/>
        </w:rPr>
        <w:t>Kasus Dasar:</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_Toc74860701 \h </w:instrText>
      </w:r>
      <w:r>
        <w:rPr>
          <w:rFonts w:ascii="Arial" w:hAnsi="Arial" w:cs="Arial"/>
          <w:sz w:val="21"/>
          <w:szCs w:val="21"/>
        </w:rPr>
        <w:fldChar w:fldCharType="separate"/>
      </w:r>
      <w:r>
        <w:rPr>
          <w:rFonts w:ascii="Arial" w:hAnsi="Arial" w:cs="Arial"/>
          <w:sz w:val="21"/>
          <w:szCs w:val="21"/>
        </w:rPr>
        <w:t>38</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3.</w:t>
      </w:r>
      <w:r>
        <w:rPr>
          <w:rFonts w:ascii="Arial" w:hAnsi="Arial" w:cs="Arial"/>
          <w:caps w:val="0"/>
          <w:sz w:val="21"/>
          <w:szCs w:val="21"/>
          <w:lang w:val="zh-CN" w:eastAsia="zh-CN"/>
        </w:rPr>
        <w:tab/>
      </w:r>
      <w:r>
        <w:rPr>
          <w:rFonts w:ascii="Arial" w:hAnsi="Arial" w:cs="Arial"/>
          <w:sz w:val="21"/>
          <w:szCs w:val="21"/>
        </w:rPr>
        <w:t>Laporan Keuangan: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_Toc74860702 \h </w:instrText>
      </w:r>
      <w:r>
        <w:rPr>
          <w:rFonts w:ascii="Arial" w:hAnsi="Arial" w:cs="Arial"/>
          <w:sz w:val="21"/>
          <w:szCs w:val="21"/>
        </w:rPr>
        <w:fldChar w:fldCharType="separate"/>
      </w:r>
      <w:r>
        <w:rPr>
          <w:rFonts w:ascii="Arial" w:hAnsi="Arial" w:cs="Arial"/>
          <w:sz w:val="21"/>
          <w:szCs w:val="21"/>
        </w:rPr>
        <w:t>39</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4.</w:t>
      </w:r>
      <w:r>
        <w:rPr>
          <w:rFonts w:ascii="Arial" w:hAnsi="Arial" w:cs="Arial"/>
          <w:caps w:val="0"/>
          <w:sz w:val="21"/>
          <w:szCs w:val="21"/>
          <w:lang w:val="zh-CN" w:eastAsia="zh-CN"/>
        </w:rPr>
        <w:tab/>
      </w:r>
      <w:r>
        <w:rPr>
          <w:rFonts w:ascii="Arial" w:hAnsi="Arial" w:cs="Arial"/>
          <w:sz w:val="21"/>
          <w:szCs w:val="21"/>
        </w:rPr>
        <w:t>Tanggal Perhitungan: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_Toc74860703 \h </w:instrText>
      </w:r>
      <w:r>
        <w:rPr>
          <w:rFonts w:ascii="Arial" w:hAnsi="Arial" w:cs="Arial"/>
          <w:sz w:val="21"/>
          <w:szCs w:val="21"/>
        </w:rPr>
        <w:fldChar w:fldCharType="separate"/>
      </w:r>
      <w:r>
        <w:rPr>
          <w:rFonts w:ascii="Arial" w:hAnsi="Arial" w:cs="Arial"/>
          <w:sz w:val="21"/>
          <w:szCs w:val="21"/>
        </w:rPr>
        <w:t>39</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5.</w:t>
      </w:r>
      <w:r>
        <w:rPr>
          <w:rFonts w:ascii="Arial" w:hAnsi="Arial" w:cs="Arial"/>
          <w:caps w:val="0"/>
          <w:sz w:val="21"/>
          <w:szCs w:val="21"/>
          <w:lang w:val="zh-CN" w:eastAsia="zh-CN"/>
        </w:rPr>
        <w:tab/>
      </w:r>
      <w:r>
        <w:rPr>
          <w:rFonts w:ascii="Arial" w:hAnsi="Arial" w:cs="Arial"/>
          <w:sz w:val="21"/>
          <w:szCs w:val="21"/>
        </w:rPr>
        <w:t>Ra</w:t>
      </w:r>
      <w:r>
        <w:rPr>
          <w:rFonts w:ascii="Arial" w:hAnsi="Arial" w:cs="Arial"/>
          <w:sz w:val="21"/>
          <w:szCs w:val="21"/>
          <w:lang w:val="en-US"/>
        </w:rPr>
        <w:t>sio-rasio</w:t>
      </w:r>
      <w:r>
        <w:rPr>
          <w:rFonts w:ascii="Arial" w:hAnsi="Arial" w:cs="Arial"/>
          <w:sz w:val="21"/>
          <w:szCs w:val="21"/>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_Toc74860704 \h </w:instrText>
      </w:r>
      <w:r>
        <w:rPr>
          <w:rFonts w:ascii="Arial" w:hAnsi="Arial" w:cs="Arial"/>
          <w:sz w:val="21"/>
          <w:szCs w:val="21"/>
        </w:rPr>
        <w:fldChar w:fldCharType="separate"/>
      </w:r>
      <w:r>
        <w:rPr>
          <w:rFonts w:ascii="Arial" w:hAnsi="Arial" w:cs="Arial"/>
          <w:sz w:val="21"/>
          <w:szCs w:val="21"/>
        </w:rPr>
        <w:t>39</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rPr>
        <w:t>6.</w:t>
      </w:r>
      <w:r>
        <w:rPr>
          <w:rFonts w:ascii="Arial" w:hAnsi="Arial" w:cs="Arial"/>
          <w:caps w:val="0"/>
          <w:sz w:val="21"/>
          <w:szCs w:val="21"/>
          <w:lang w:val="zh-CN" w:eastAsia="zh-CN"/>
        </w:rPr>
        <w:tab/>
      </w:r>
      <w:r>
        <w:rPr>
          <w:rFonts w:ascii="Arial" w:hAnsi="Arial" w:cs="Arial"/>
          <w:sz w:val="21"/>
          <w:szCs w:val="21"/>
        </w:rPr>
        <w:t>[Perbaikan Ekuitas:</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_Toc74860705 \h </w:instrText>
      </w:r>
      <w:r>
        <w:rPr>
          <w:rFonts w:ascii="Arial" w:hAnsi="Arial" w:cs="Arial"/>
          <w:sz w:val="21"/>
          <w:szCs w:val="21"/>
        </w:rPr>
        <w:fldChar w:fldCharType="separate"/>
      </w:r>
      <w:r>
        <w:rPr>
          <w:rFonts w:ascii="Arial" w:hAnsi="Arial" w:cs="Arial"/>
          <w:sz w:val="21"/>
          <w:szCs w:val="21"/>
        </w:rPr>
        <w:t>41</w:t>
      </w:r>
      <w:r>
        <w:rPr>
          <w:rFonts w:ascii="Arial" w:hAnsi="Arial" w:cs="Arial"/>
          <w:sz w:val="21"/>
          <w:szCs w:val="21"/>
        </w:rPr>
        <w:fldChar w:fldCharType="end"/>
      </w:r>
    </w:p>
    <w:p>
      <w:pPr>
        <w:pStyle w:val="34"/>
        <w:tabs>
          <w:tab w:val="right" w:leader="dot" w:pos="8657"/>
        </w:tabs>
        <w:spacing w:after="120"/>
        <w:rPr>
          <w:rFonts w:cs="Arial"/>
          <w:caps w:val="0"/>
          <w:szCs w:val="21"/>
          <w:lang w:val="zh-CN" w:eastAsia="zh-CN"/>
        </w:rPr>
      </w:pPr>
      <w:r>
        <w:rPr>
          <w:rFonts w:cs="Arial"/>
          <w:bCs/>
          <w:caps w:val="0"/>
          <w:szCs w:val="21"/>
          <w:lang w:val="id-ID"/>
        </w:rPr>
        <w:t>H.</w:t>
      </w:r>
      <w:r>
        <w:rPr>
          <w:rFonts w:cs="Arial"/>
          <w:caps w:val="0"/>
          <w:szCs w:val="21"/>
          <w:lang w:val="zh-CN" w:eastAsia="zh-CN"/>
        </w:rPr>
        <w:tab/>
      </w:r>
      <w:r>
        <w:rPr>
          <w:rFonts w:cs="Arial"/>
          <w:szCs w:val="21"/>
          <w:lang w:val="id-ID"/>
        </w:rPr>
        <w:t>PERNYATAAN-PERNYATAAN, JANJI-JANJI DAN PERISTIWA</w:t>
      </w:r>
      <w:r>
        <w:rPr>
          <w:rFonts w:cs="Arial"/>
          <w:szCs w:val="21"/>
          <w:lang w:val="en-US"/>
        </w:rPr>
        <w:t>-PERISTIWA</w:t>
      </w:r>
      <w:r>
        <w:rPr>
          <w:rFonts w:cs="Arial"/>
          <w:szCs w:val="21"/>
          <w:lang w:val="id-ID"/>
        </w:rPr>
        <w:t xml:space="preserve"> CEDERA JANJI</w:t>
      </w:r>
      <w:r>
        <w:rPr>
          <w:rFonts w:cs="Arial"/>
          <w:szCs w:val="21"/>
        </w:rPr>
        <w:tab/>
      </w:r>
      <w:r>
        <w:rPr>
          <w:rFonts w:cs="Arial"/>
          <w:szCs w:val="21"/>
        </w:rPr>
        <w:fldChar w:fldCharType="begin"/>
      </w:r>
      <w:r>
        <w:rPr>
          <w:rFonts w:cs="Arial"/>
          <w:szCs w:val="21"/>
        </w:rPr>
        <w:instrText xml:space="preserve"> PAGEREF _Toc74860706 \h </w:instrText>
      </w:r>
      <w:r>
        <w:rPr>
          <w:rFonts w:cs="Arial"/>
          <w:szCs w:val="21"/>
        </w:rPr>
        <w:fldChar w:fldCharType="separate"/>
      </w:r>
      <w:r>
        <w:rPr>
          <w:rFonts w:cs="Arial"/>
          <w:szCs w:val="21"/>
        </w:rPr>
        <w:t>43</w:t>
      </w:r>
      <w:r>
        <w:rPr>
          <w:rFonts w:cs="Arial"/>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1.</w:t>
      </w:r>
      <w:r>
        <w:rPr>
          <w:rFonts w:ascii="Arial" w:hAnsi="Arial" w:cs="Arial"/>
          <w:caps w:val="0"/>
          <w:sz w:val="21"/>
          <w:szCs w:val="21"/>
          <w:lang w:val="zh-CN" w:eastAsia="zh-CN"/>
        </w:rPr>
        <w:tab/>
      </w:r>
      <w:r>
        <w:rPr>
          <w:rFonts w:ascii="Arial" w:hAnsi="Arial" w:cs="Arial"/>
          <w:sz w:val="21"/>
          <w:szCs w:val="21"/>
          <w:lang w:val="id-ID"/>
        </w:rPr>
        <w:t>Pernyataan-pernyataan: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_Toc74860707 \h </w:instrText>
      </w:r>
      <w:r>
        <w:rPr>
          <w:rFonts w:ascii="Arial" w:hAnsi="Arial" w:cs="Arial"/>
          <w:sz w:val="21"/>
          <w:szCs w:val="21"/>
        </w:rPr>
        <w:fldChar w:fldCharType="separate"/>
      </w:r>
      <w:r>
        <w:rPr>
          <w:rFonts w:ascii="Arial" w:hAnsi="Arial" w:cs="Arial"/>
          <w:sz w:val="21"/>
          <w:szCs w:val="21"/>
        </w:rPr>
        <w:t>43</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2.</w:t>
      </w:r>
      <w:r>
        <w:rPr>
          <w:rFonts w:ascii="Arial" w:hAnsi="Arial" w:cs="Arial"/>
          <w:caps w:val="0"/>
          <w:sz w:val="21"/>
          <w:szCs w:val="21"/>
          <w:lang w:val="zh-CN" w:eastAsia="zh-CN"/>
        </w:rPr>
        <w:tab/>
      </w:r>
      <w:r>
        <w:rPr>
          <w:rFonts w:ascii="Arial" w:hAnsi="Arial" w:cs="Arial"/>
          <w:sz w:val="21"/>
          <w:szCs w:val="21"/>
          <w:lang w:val="en-US"/>
        </w:rPr>
        <w:t>Janji-janji terkait Informasi</w:t>
      </w:r>
      <w:r>
        <w:rPr>
          <w:rFonts w:ascii="Arial" w:hAnsi="Arial" w:cs="Arial"/>
          <w:sz w:val="21"/>
          <w:szCs w:val="21"/>
          <w:lang w:val="id-ID"/>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_Toc74860708 \h </w:instrText>
      </w:r>
      <w:r>
        <w:rPr>
          <w:rFonts w:ascii="Arial" w:hAnsi="Arial" w:cs="Arial"/>
          <w:sz w:val="21"/>
          <w:szCs w:val="21"/>
        </w:rPr>
        <w:fldChar w:fldCharType="separate"/>
      </w:r>
      <w:r>
        <w:rPr>
          <w:rFonts w:ascii="Arial" w:hAnsi="Arial" w:cs="Arial"/>
          <w:sz w:val="21"/>
          <w:szCs w:val="21"/>
        </w:rPr>
        <w:t>44</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3.</w:t>
      </w:r>
      <w:r>
        <w:rPr>
          <w:rFonts w:ascii="Arial" w:hAnsi="Arial" w:cs="Arial"/>
          <w:caps w:val="0"/>
          <w:sz w:val="21"/>
          <w:szCs w:val="21"/>
          <w:lang w:val="zh-CN" w:eastAsia="zh-CN"/>
        </w:rPr>
        <w:tab/>
      </w:r>
      <w:r>
        <w:rPr>
          <w:rFonts w:ascii="Arial" w:hAnsi="Arial" w:cs="Arial"/>
          <w:sz w:val="21"/>
          <w:szCs w:val="21"/>
          <w:lang w:val="en-US"/>
        </w:rPr>
        <w:t>Janji-janji secara Umum</w:t>
      </w:r>
      <w:r>
        <w:rPr>
          <w:rFonts w:ascii="Arial" w:hAnsi="Arial" w:cs="Arial"/>
          <w:sz w:val="21"/>
          <w:szCs w:val="21"/>
          <w:lang w:val="id-ID"/>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_Toc74860709 \h </w:instrText>
      </w:r>
      <w:r>
        <w:rPr>
          <w:rFonts w:ascii="Arial" w:hAnsi="Arial" w:cs="Arial"/>
          <w:sz w:val="21"/>
          <w:szCs w:val="21"/>
        </w:rPr>
        <w:fldChar w:fldCharType="separate"/>
      </w:r>
      <w:r>
        <w:rPr>
          <w:rFonts w:ascii="Arial" w:hAnsi="Arial" w:cs="Arial"/>
          <w:sz w:val="21"/>
          <w:szCs w:val="21"/>
        </w:rPr>
        <w:t>47</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4.</w:t>
      </w:r>
      <w:r>
        <w:rPr>
          <w:rFonts w:ascii="Arial" w:hAnsi="Arial" w:cs="Arial"/>
          <w:caps w:val="0"/>
          <w:sz w:val="21"/>
          <w:szCs w:val="21"/>
          <w:lang w:val="zh-CN" w:eastAsia="zh-CN"/>
        </w:rPr>
        <w:tab/>
      </w:r>
      <w:r>
        <w:rPr>
          <w:rFonts w:ascii="Arial" w:hAnsi="Arial" w:cs="Arial"/>
          <w:sz w:val="21"/>
          <w:szCs w:val="21"/>
          <w:lang w:val="id-ID"/>
        </w:rPr>
        <w:t>Peristiwa</w:t>
      </w:r>
      <w:r>
        <w:rPr>
          <w:rFonts w:ascii="Arial" w:hAnsi="Arial" w:cs="Arial"/>
          <w:sz w:val="21"/>
          <w:szCs w:val="21"/>
          <w:lang w:val="en-US"/>
        </w:rPr>
        <w:t>-PERISTIWA</w:t>
      </w:r>
      <w:r>
        <w:rPr>
          <w:rFonts w:ascii="Arial" w:hAnsi="Arial" w:cs="Arial"/>
          <w:sz w:val="21"/>
          <w:szCs w:val="21"/>
          <w:lang w:val="id-ID"/>
        </w:rPr>
        <w:t xml:space="preserve"> Cedera janji: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_Toc74860710 \h </w:instrText>
      </w:r>
      <w:r>
        <w:rPr>
          <w:rFonts w:ascii="Arial" w:hAnsi="Arial" w:cs="Arial"/>
          <w:sz w:val="21"/>
          <w:szCs w:val="21"/>
        </w:rPr>
        <w:fldChar w:fldCharType="separate"/>
      </w:r>
      <w:r>
        <w:rPr>
          <w:rFonts w:ascii="Arial" w:hAnsi="Arial" w:cs="Arial"/>
          <w:sz w:val="21"/>
          <w:szCs w:val="21"/>
        </w:rPr>
        <w:t>50</w:t>
      </w:r>
      <w:r>
        <w:rPr>
          <w:rFonts w:ascii="Arial" w:hAnsi="Arial" w:cs="Arial"/>
          <w:sz w:val="21"/>
          <w:szCs w:val="21"/>
        </w:rPr>
        <w:fldChar w:fldCharType="end"/>
      </w:r>
    </w:p>
    <w:p>
      <w:pPr>
        <w:pStyle w:val="34"/>
        <w:tabs>
          <w:tab w:val="right" w:leader="dot" w:pos="8657"/>
        </w:tabs>
        <w:spacing w:after="120"/>
        <w:rPr>
          <w:rFonts w:cs="Arial"/>
          <w:caps w:val="0"/>
          <w:szCs w:val="21"/>
          <w:lang w:val="zh-CN" w:eastAsia="zh-CN"/>
        </w:rPr>
      </w:pPr>
      <w:r>
        <w:rPr>
          <w:rFonts w:cs="Arial"/>
          <w:bCs/>
          <w:caps w:val="0"/>
          <w:szCs w:val="21"/>
          <w:lang w:val="id-ID"/>
        </w:rPr>
        <w:t>I.</w:t>
      </w:r>
      <w:r>
        <w:rPr>
          <w:rFonts w:cs="Arial"/>
          <w:caps w:val="0"/>
          <w:szCs w:val="21"/>
          <w:lang w:val="zh-CN" w:eastAsia="zh-CN"/>
        </w:rPr>
        <w:tab/>
      </w:r>
      <w:r>
        <w:rPr>
          <w:rFonts w:cs="Arial"/>
          <w:szCs w:val="21"/>
          <w:lang w:val="en-US"/>
        </w:rPr>
        <w:t>PER</w:t>
      </w:r>
      <w:r>
        <w:rPr>
          <w:rFonts w:cs="Arial"/>
          <w:szCs w:val="21"/>
          <w:lang w:val="id-ID"/>
        </w:rPr>
        <w:t>MASALAH</w:t>
      </w:r>
      <w:r>
        <w:rPr>
          <w:rFonts w:cs="Arial"/>
          <w:szCs w:val="21"/>
          <w:lang w:val="en-US"/>
        </w:rPr>
        <w:t>AN</w:t>
      </w:r>
      <w:r>
        <w:rPr>
          <w:rFonts w:cs="Arial"/>
          <w:szCs w:val="21"/>
          <w:lang w:val="id-ID"/>
        </w:rPr>
        <w:t xml:space="preserve"> </w:t>
      </w:r>
      <w:r>
        <w:rPr>
          <w:rFonts w:cs="Arial"/>
          <w:szCs w:val="21"/>
          <w:lang w:val="en-US"/>
        </w:rPr>
        <w:t>Antarkreditur</w:t>
      </w:r>
      <w:r>
        <w:rPr>
          <w:rFonts w:cs="Arial"/>
          <w:szCs w:val="21"/>
        </w:rPr>
        <w:tab/>
      </w:r>
      <w:r>
        <w:rPr>
          <w:rFonts w:cs="Arial"/>
          <w:szCs w:val="21"/>
        </w:rPr>
        <w:fldChar w:fldCharType="begin"/>
      </w:r>
      <w:r>
        <w:rPr>
          <w:rFonts w:cs="Arial"/>
          <w:szCs w:val="21"/>
        </w:rPr>
        <w:instrText xml:space="preserve"> PAGEREF _Toc74860711 \h </w:instrText>
      </w:r>
      <w:r>
        <w:rPr>
          <w:rFonts w:cs="Arial"/>
          <w:szCs w:val="21"/>
        </w:rPr>
        <w:fldChar w:fldCharType="separate"/>
      </w:r>
      <w:r>
        <w:rPr>
          <w:rFonts w:cs="Arial"/>
          <w:szCs w:val="21"/>
        </w:rPr>
        <w:t>52</w:t>
      </w:r>
      <w:r>
        <w:rPr>
          <w:rFonts w:cs="Arial"/>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1.</w:t>
      </w:r>
      <w:r>
        <w:rPr>
          <w:rFonts w:ascii="Arial" w:hAnsi="Arial" w:cs="Arial"/>
          <w:caps w:val="0"/>
          <w:sz w:val="21"/>
          <w:szCs w:val="21"/>
          <w:lang w:val="zh-CN" w:eastAsia="zh-CN"/>
        </w:rPr>
        <w:tab/>
      </w:r>
      <w:r>
        <w:rPr>
          <w:rFonts w:ascii="Arial" w:hAnsi="Arial" w:cs="Arial"/>
          <w:sz w:val="21"/>
          <w:szCs w:val="21"/>
          <w:lang w:val="id-ID"/>
        </w:rPr>
        <w:t>Kreditur Mayoritas:</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_Toc74860712 \h </w:instrText>
      </w:r>
      <w:r>
        <w:rPr>
          <w:rFonts w:ascii="Arial" w:hAnsi="Arial" w:cs="Arial"/>
          <w:sz w:val="21"/>
          <w:szCs w:val="21"/>
        </w:rPr>
        <w:fldChar w:fldCharType="separate"/>
      </w:r>
      <w:r>
        <w:rPr>
          <w:rFonts w:ascii="Arial" w:hAnsi="Arial" w:cs="Arial"/>
          <w:sz w:val="21"/>
          <w:szCs w:val="21"/>
        </w:rPr>
        <w:t>52</w:t>
      </w:r>
      <w:r>
        <w:rPr>
          <w:rFonts w:ascii="Arial" w:hAnsi="Arial" w:cs="Arial"/>
          <w:sz w:val="21"/>
          <w:szCs w:val="21"/>
        </w:rPr>
        <w:fldChar w:fldCharType="end"/>
      </w:r>
    </w:p>
    <w:p>
      <w:pPr>
        <w:pStyle w:val="35"/>
        <w:spacing w:after="120"/>
        <w:ind w:left="1440" w:hanging="720"/>
        <w:rPr>
          <w:rFonts w:ascii="Arial" w:hAnsi="Arial" w:cs="Arial"/>
          <w:caps w:val="0"/>
          <w:sz w:val="21"/>
          <w:szCs w:val="21"/>
          <w:lang w:val="zh-CN" w:eastAsia="zh-CN"/>
        </w:rPr>
      </w:pPr>
      <w:r>
        <w:rPr>
          <w:rFonts w:ascii="Arial" w:hAnsi="Arial" w:cs="Arial"/>
          <w:bCs/>
          <w:sz w:val="21"/>
          <w:szCs w:val="21"/>
          <w:lang w:val="id-ID"/>
        </w:rPr>
        <w:t>2.</w:t>
      </w:r>
      <w:r>
        <w:rPr>
          <w:rFonts w:ascii="Arial" w:hAnsi="Arial" w:cs="Arial"/>
          <w:caps w:val="0"/>
          <w:sz w:val="21"/>
          <w:szCs w:val="21"/>
          <w:lang w:val="zh-CN" w:eastAsia="zh-CN"/>
        </w:rPr>
        <w:tab/>
      </w:r>
      <w:r>
        <w:rPr>
          <w:rFonts w:ascii="Arial" w:hAnsi="Arial" w:cs="Arial"/>
          <w:sz w:val="21"/>
          <w:szCs w:val="21"/>
          <w:lang w:val="id-ID"/>
        </w:rPr>
        <w:t>Pengalihan</w:t>
      </w:r>
      <w:r>
        <w:rPr>
          <w:rFonts w:ascii="Arial" w:hAnsi="Arial" w:cs="Arial"/>
          <w:sz w:val="21"/>
          <w:szCs w:val="21"/>
          <w:lang w:val="en-US"/>
        </w:rPr>
        <w:t>-pengalihan</w:t>
      </w:r>
      <w:r>
        <w:rPr>
          <w:rFonts w:ascii="Arial" w:hAnsi="Arial" w:cs="Arial"/>
          <w:bCs/>
          <w:sz w:val="21"/>
          <w:szCs w:val="21"/>
          <w:lang w:val="id-ID"/>
        </w:rPr>
        <w:t xml:space="preserve"> </w:t>
      </w:r>
      <w:r>
        <w:rPr>
          <w:rFonts w:ascii="Arial" w:hAnsi="Arial" w:cs="Arial"/>
          <w:sz w:val="21"/>
          <w:szCs w:val="21"/>
          <w:lang w:val="id-ID"/>
        </w:rPr>
        <w:t>dan Pemindahan</w:t>
      </w:r>
      <w:r>
        <w:rPr>
          <w:rFonts w:ascii="Arial" w:hAnsi="Arial" w:cs="Arial"/>
          <w:sz w:val="21"/>
          <w:szCs w:val="21"/>
          <w:lang w:val="en-US"/>
        </w:rPr>
        <w:t>-pemindahan</w:t>
      </w:r>
      <w:r>
        <w:rPr>
          <w:rFonts w:ascii="Arial" w:hAnsi="Arial" w:cs="Arial"/>
          <w:sz w:val="21"/>
          <w:szCs w:val="21"/>
          <w:lang w:val="id-ID"/>
        </w:rPr>
        <w:t xml:space="preserve"> hak oleh </w:t>
      </w:r>
      <w:r>
        <w:rPr>
          <w:rFonts w:ascii="Arial" w:hAnsi="Arial" w:cs="Arial"/>
          <w:sz w:val="21"/>
          <w:szCs w:val="21"/>
          <w:lang w:val="en-US"/>
        </w:rPr>
        <w:t xml:space="preserve">Para </w:t>
      </w:r>
      <w:r>
        <w:rPr>
          <w:rFonts w:ascii="Arial" w:hAnsi="Arial" w:cs="Arial"/>
          <w:sz w:val="21"/>
          <w:szCs w:val="21"/>
          <w:lang w:val="id-ID"/>
        </w:rPr>
        <w:t>Kreditur:</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_Toc74860713 \h </w:instrText>
      </w:r>
      <w:r>
        <w:rPr>
          <w:rFonts w:ascii="Arial" w:hAnsi="Arial" w:cs="Arial"/>
          <w:sz w:val="21"/>
          <w:szCs w:val="21"/>
        </w:rPr>
        <w:fldChar w:fldCharType="separate"/>
      </w:r>
      <w:r>
        <w:rPr>
          <w:rFonts w:ascii="Arial" w:hAnsi="Arial" w:cs="Arial"/>
          <w:sz w:val="21"/>
          <w:szCs w:val="21"/>
        </w:rPr>
        <w:t>52</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3.</w:t>
      </w:r>
      <w:r>
        <w:rPr>
          <w:rFonts w:ascii="Arial" w:hAnsi="Arial" w:cs="Arial"/>
          <w:caps w:val="0"/>
          <w:sz w:val="21"/>
          <w:szCs w:val="21"/>
          <w:lang w:val="zh-CN" w:eastAsia="zh-CN"/>
        </w:rPr>
        <w:tab/>
      </w:r>
      <w:r>
        <w:rPr>
          <w:rFonts w:ascii="Arial" w:hAnsi="Arial" w:cs="Arial"/>
          <w:sz w:val="21"/>
          <w:szCs w:val="21"/>
          <w:lang w:val="id-ID"/>
        </w:rPr>
        <w:t>[Penggantian Kreditur:</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_Toc74860714 \h </w:instrText>
      </w:r>
      <w:r>
        <w:rPr>
          <w:rFonts w:ascii="Arial" w:hAnsi="Arial" w:cs="Arial"/>
          <w:sz w:val="21"/>
          <w:szCs w:val="21"/>
        </w:rPr>
        <w:fldChar w:fldCharType="separate"/>
      </w:r>
      <w:r>
        <w:rPr>
          <w:rFonts w:ascii="Arial" w:hAnsi="Arial" w:cs="Arial"/>
          <w:sz w:val="21"/>
          <w:szCs w:val="21"/>
        </w:rPr>
        <w:t>53</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4.</w:t>
      </w:r>
      <w:r>
        <w:rPr>
          <w:rFonts w:ascii="Arial" w:hAnsi="Arial" w:cs="Arial"/>
          <w:caps w:val="0"/>
          <w:sz w:val="21"/>
          <w:szCs w:val="21"/>
          <w:lang w:val="zh-CN" w:eastAsia="zh-CN"/>
        </w:rPr>
        <w:tab/>
      </w:r>
      <w:r>
        <w:rPr>
          <w:rFonts w:ascii="Arial" w:hAnsi="Arial" w:cs="Arial"/>
          <w:sz w:val="21"/>
          <w:szCs w:val="21"/>
          <w:lang w:val="id-ID"/>
        </w:rPr>
        <w:t>Para Kreditur yang Cedera janji: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_Toc74860715 \h </w:instrText>
      </w:r>
      <w:r>
        <w:rPr>
          <w:rFonts w:ascii="Arial" w:hAnsi="Arial" w:cs="Arial"/>
          <w:sz w:val="21"/>
          <w:szCs w:val="21"/>
        </w:rPr>
        <w:fldChar w:fldCharType="separate"/>
      </w:r>
      <w:r>
        <w:rPr>
          <w:rFonts w:ascii="Arial" w:hAnsi="Arial" w:cs="Arial"/>
          <w:sz w:val="21"/>
          <w:szCs w:val="21"/>
        </w:rPr>
        <w:t>53</w:t>
      </w:r>
      <w:r>
        <w:rPr>
          <w:rFonts w:ascii="Arial" w:hAnsi="Arial" w:cs="Arial"/>
          <w:sz w:val="21"/>
          <w:szCs w:val="21"/>
        </w:rPr>
        <w:fldChar w:fldCharType="end"/>
      </w:r>
    </w:p>
    <w:p>
      <w:pPr>
        <w:pStyle w:val="34"/>
        <w:tabs>
          <w:tab w:val="right" w:leader="dot" w:pos="8657"/>
        </w:tabs>
        <w:spacing w:after="120"/>
        <w:rPr>
          <w:rFonts w:cs="Arial"/>
          <w:caps w:val="0"/>
          <w:szCs w:val="21"/>
          <w:lang w:val="zh-CN" w:eastAsia="zh-CN"/>
        </w:rPr>
      </w:pPr>
      <w:r>
        <w:rPr>
          <w:rFonts w:cs="Arial"/>
          <w:bCs/>
          <w:caps w:val="0"/>
          <w:szCs w:val="21"/>
          <w:lang w:val="id-ID"/>
        </w:rPr>
        <w:t>J.</w:t>
      </w:r>
      <w:r>
        <w:rPr>
          <w:rFonts w:cs="Arial"/>
          <w:caps w:val="0"/>
          <w:szCs w:val="21"/>
          <w:lang w:val="zh-CN" w:eastAsia="zh-CN"/>
        </w:rPr>
        <w:tab/>
      </w:r>
      <w:r>
        <w:rPr>
          <w:rFonts w:cs="Arial"/>
          <w:szCs w:val="21"/>
          <w:lang w:val="id-ID"/>
        </w:rPr>
        <w:t>PR</w:t>
      </w:r>
      <w:r>
        <w:rPr>
          <w:rFonts w:cs="Arial"/>
          <w:szCs w:val="21"/>
          <w:lang w:val="en-US"/>
        </w:rPr>
        <w:t>ASYARAT PENDAHULUAN</w:t>
      </w:r>
      <w:r>
        <w:rPr>
          <w:rFonts w:cs="Arial"/>
          <w:szCs w:val="21"/>
        </w:rPr>
        <w:tab/>
      </w:r>
      <w:r>
        <w:rPr>
          <w:rFonts w:cs="Arial"/>
          <w:szCs w:val="21"/>
        </w:rPr>
        <w:fldChar w:fldCharType="begin"/>
      </w:r>
      <w:r>
        <w:rPr>
          <w:rFonts w:cs="Arial"/>
          <w:szCs w:val="21"/>
        </w:rPr>
        <w:instrText xml:space="preserve"> PAGEREF _Toc74860716 \h </w:instrText>
      </w:r>
      <w:r>
        <w:rPr>
          <w:rFonts w:cs="Arial"/>
          <w:szCs w:val="21"/>
        </w:rPr>
        <w:fldChar w:fldCharType="separate"/>
      </w:r>
      <w:r>
        <w:rPr>
          <w:rFonts w:cs="Arial"/>
          <w:szCs w:val="21"/>
        </w:rPr>
        <w:t>55</w:t>
      </w:r>
      <w:r>
        <w:rPr>
          <w:rFonts w:cs="Arial"/>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1.</w:t>
      </w:r>
      <w:r>
        <w:rPr>
          <w:rFonts w:ascii="Arial" w:hAnsi="Arial" w:cs="Arial"/>
          <w:caps w:val="0"/>
          <w:sz w:val="21"/>
          <w:szCs w:val="21"/>
          <w:lang w:val="zh-CN" w:eastAsia="zh-CN"/>
        </w:rPr>
        <w:tab/>
      </w:r>
      <w:r>
        <w:rPr>
          <w:rFonts w:ascii="Arial" w:hAnsi="Arial" w:cs="Arial"/>
          <w:sz w:val="21"/>
          <w:szCs w:val="21"/>
          <w:lang w:val="en-US"/>
        </w:rPr>
        <w:t>Prasyarat Pendahuluan</w:t>
      </w:r>
      <w:r>
        <w:rPr>
          <w:rFonts w:ascii="Arial" w:hAnsi="Arial" w:cs="Arial"/>
          <w:sz w:val="21"/>
          <w:szCs w:val="21"/>
          <w:lang w:val="id-ID"/>
        </w:rPr>
        <w:t xml:space="preserve"> untuk penarikan pertama </w:t>
      </w:r>
      <w:r>
        <w:rPr>
          <w:rFonts w:ascii="Arial" w:hAnsi="Arial" w:cs="Arial"/>
          <w:bCs/>
          <w:sz w:val="21"/>
          <w:szCs w:val="21"/>
          <w:lang w:val="id-ID"/>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_Toc74860717 \h </w:instrText>
      </w:r>
      <w:r>
        <w:rPr>
          <w:rFonts w:ascii="Arial" w:hAnsi="Arial" w:cs="Arial"/>
          <w:sz w:val="21"/>
          <w:szCs w:val="21"/>
        </w:rPr>
        <w:fldChar w:fldCharType="separate"/>
      </w:r>
      <w:r>
        <w:rPr>
          <w:rFonts w:ascii="Arial" w:hAnsi="Arial" w:cs="Arial"/>
          <w:sz w:val="21"/>
          <w:szCs w:val="21"/>
        </w:rPr>
        <w:t>55</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2.</w:t>
      </w:r>
      <w:r>
        <w:rPr>
          <w:rFonts w:ascii="Arial" w:hAnsi="Arial" w:cs="Arial"/>
          <w:caps w:val="0"/>
          <w:sz w:val="21"/>
          <w:szCs w:val="21"/>
          <w:lang w:val="zh-CN" w:eastAsia="zh-CN"/>
        </w:rPr>
        <w:tab/>
      </w:r>
      <w:r>
        <w:rPr>
          <w:rFonts w:ascii="Arial" w:hAnsi="Arial" w:cs="Arial"/>
          <w:sz w:val="21"/>
          <w:szCs w:val="21"/>
          <w:lang w:val="en-US"/>
        </w:rPr>
        <w:t>Prasyarat Pendahuluan</w:t>
      </w:r>
      <w:r>
        <w:rPr>
          <w:rFonts w:ascii="Arial" w:hAnsi="Arial" w:cs="Arial"/>
          <w:sz w:val="21"/>
          <w:szCs w:val="21"/>
          <w:lang w:val="id-ID"/>
        </w:rPr>
        <w:t xml:space="preserve"> untuk setiap penarikan: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_Toc74860718 \h </w:instrText>
      </w:r>
      <w:r>
        <w:rPr>
          <w:rFonts w:ascii="Arial" w:hAnsi="Arial" w:cs="Arial"/>
          <w:sz w:val="21"/>
          <w:szCs w:val="21"/>
        </w:rPr>
        <w:fldChar w:fldCharType="separate"/>
      </w:r>
      <w:r>
        <w:rPr>
          <w:rFonts w:ascii="Arial" w:hAnsi="Arial" w:cs="Arial"/>
          <w:sz w:val="21"/>
          <w:szCs w:val="21"/>
        </w:rPr>
        <w:t>57</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3.</w:t>
      </w:r>
      <w:r>
        <w:rPr>
          <w:rFonts w:ascii="Arial" w:hAnsi="Arial" w:cs="Arial"/>
          <w:caps w:val="0"/>
          <w:sz w:val="21"/>
          <w:szCs w:val="21"/>
          <w:lang w:val="zh-CN" w:eastAsia="zh-CN"/>
        </w:rPr>
        <w:tab/>
      </w:r>
      <w:r>
        <w:rPr>
          <w:rFonts w:ascii="Arial" w:hAnsi="Arial" w:cs="Arial"/>
          <w:sz w:val="21"/>
          <w:szCs w:val="21"/>
          <w:lang w:val="id-ID"/>
        </w:rPr>
        <w:t>Ketentuan-ketentuan lain: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_Toc74860719 \h </w:instrText>
      </w:r>
      <w:r>
        <w:rPr>
          <w:rFonts w:ascii="Arial" w:hAnsi="Arial" w:cs="Arial"/>
          <w:sz w:val="21"/>
          <w:szCs w:val="21"/>
        </w:rPr>
        <w:fldChar w:fldCharType="separate"/>
      </w:r>
      <w:r>
        <w:rPr>
          <w:rFonts w:ascii="Arial" w:hAnsi="Arial" w:cs="Arial"/>
          <w:sz w:val="21"/>
          <w:szCs w:val="21"/>
        </w:rPr>
        <w:t>59</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4.</w:t>
      </w:r>
      <w:r>
        <w:rPr>
          <w:rFonts w:ascii="Arial" w:hAnsi="Arial" w:cs="Arial"/>
          <w:caps w:val="0"/>
          <w:sz w:val="21"/>
          <w:szCs w:val="21"/>
          <w:lang w:val="zh-CN" w:eastAsia="zh-CN"/>
        </w:rPr>
        <w:tab/>
      </w:r>
      <w:r>
        <w:rPr>
          <w:rFonts w:ascii="Arial" w:hAnsi="Arial" w:cs="Arial"/>
          <w:sz w:val="21"/>
          <w:szCs w:val="21"/>
          <w:lang w:val="id-ID"/>
        </w:rPr>
        <w:t>Pajak Bruto:</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_Toc74860720 \h </w:instrText>
      </w:r>
      <w:r>
        <w:rPr>
          <w:rFonts w:ascii="Arial" w:hAnsi="Arial" w:cs="Arial"/>
          <w:sz w:val="21"/>
          <w:szCs w:val="21"/>
        </w:rPr>
        <w:fldChar w:fldCharType="separate"/>
      </w:r>
      <w:r>
        <w:rPr>
          <w:rFonts w:ascii="Arial" w:hAnsi="Arial" w:cs="Arial"/>
          <w:sz w:val="21"/>
          <w:szCs w:val="21"/>
        </w:rPr>
        <w:t>59</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5.</w:t>
      </w:r>
      <w:r>
        <w:rPr>
          <w:rFonts w:ascii="Arial" w:hAnsi="Arial" w:cs="Arial"/>
          <w:caps w:val="0"/>
          <w:sz w:val="21"/>
          <w:szCs w:val="21"/>
          <w:lang w:val="zh-CN" w:eastAsia="zh-CN"/>
        </w:rPr>
        <w:tab/>
      </w:r>
      <w:r>
        <w:rPr>
          <w:rFonts w:ascii="Arial" w:hAnsi="Arial" w:cs="Arial"/>
          <w:sz w:val="21"/>
          <w:szCs w:val="21"/>
          <w:lang w:val="id-ID"/>
        </w:rPr>
        <w:t>Biaya</w:t>
      </w:r>
      <w:r>
        <w:rPr>
          <w:rFonts w:ascii="Arial" w:hAnsi="Arial" w:cs="Arial"/>
          <w:sz w:val="21"/>
          <w:szCs w:val="21"/>
          <w:lang w:val="en-US"/>
        </w:rPr>
        <w:t>-biaya</w:t>
      </w:r>
      <w:r>
        <w:rPr>
          <w:rFonts w:ascii="Arial" w:hAnsi="Arial" w:cs="Arial"/>
          <w:sz w:val="21"/>
          <w:szCs w:val="21"/>
          <w:lang w:val="id-ID"/>
        </w:rPr>
        <w:t xml:space="preserve"> dan Pengeluaran</w:t>
      </w:r>
      <w:r>
        <w:rPr>
          <w:rFonts w:ascii="Arial" w:hAnsi="Arial" w:cs="Arial"/>
          <w:sz w:val="21"/>
          <w:szCs w:val="21"/>
          <w:lang w:val="en-US"/>
        </w:rPr>
        <w:t>-pengeluaran</w:t>
      </w:r>
      <w:r>
        <w:rPr>
          <w:rFonts w:ascii="Arial" w:hAnsi="Arial" w:cs="Arial"/>
          <w:sz w:val="21"/>
          <w:szCs w:val="21"/>
          <w:lang w:val="id-ID"/>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_Toc74860721 \h </w:instrText>
      </w:r>
      <w:r>
        <w:rPr>
          <w:rFonts w:ascii="Arial" w:hAnsi="Arial" w:cs="Arial"/>
          <w:sz w:val="21"/>
          <w:szCs w:val="21"/>
        </w:rPr>
        <w:fldChar w:fldCharType="separate"/>
      </w:r>
      <w:r>
        <w:rPr>
          <w:rFonts w:ascii="Arial" w:hAnsi="Arial" w:cs="Arial"/>
          <w:sz w:val="21"/>
          <w:szCs w:val="21"/>
        </w:rPr>
        <w:t>59</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6.</w:t>
      </w:r>
      <w:r>
        <w:rPr>
          <w:rFonts w:ascii="Arial" w:hAnsi="Arial" w:cs="Arial"/>
          <w:caps w:val="0"/>
          <w:sz w:val="21"/>
          <w:szCs w:val="21"/>
          <w:lang w:val="zh-CN" w:eastAsia="zh-CN"/>
        </w:rPr>
        <w:tab/>
      </w:r>
      <w:r>
        <w:rPr>
          <w:rFonts w:ascii="Arial" w:hAnsi="Arial" w:cs="Arial"/>
          <w:sz w:val="21"/>
          <w:szCs w:val="21"/>
          <w:lang w:val="id-ID"/>
        </w:rPr>
        <w:t>Hukum yang Mengatur:</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_Toc74860722 \h </w:instrText>
      </w:r>
      <w:r>
        <w:rPr>
          <w:rFonts w:ascii="Arial" w:hAnsi="Arial" w:cs="Arial"/>
          <w:sz w:val="21"/>
          <w:szCs w:val="21"/>
        </w:rPr>
        <w:fldChar w:fldCharType="separate"/>
      </w:r>
      <w:r>
        <w:rPr>
          <w:rFonts w:ascii="Arial" w:hAnsi="Arial" w:cs="Arial"/>
          <w:sz w:val="21"/>
          <w:szCs w:val="21"/>
        </w:rPr>
        <w:t>59</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7.</w:t>
      </w:r>
      <w:r>
        <w:rPr>
          <w:rFonts w:ascii="Arial" w:hAnsi="Arial" w:cs="Arial"/>
          <w:caps w:val="0"/>
          <w:sz w:val="21"/>
          <w:szCs w:val="21"/>
          <w:lang w:val="zh-CN" w:eastAsia="zh-CN"/>
        </w:rPr>
        <w:tab/>
      </w:r>
      <w:r>
        <w:rPr>
          <w:rFonts w:ascii="Arial" w:hAnsi="Arial" w:cs="Arial"/>
          <w:sz w:val="21"/>
          <w:szCs w:val="21"/>
          <w:lang w:val="id-ID"/>
        </w:rPr>
        <w:t>[Yurisdiksi:]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_Toc74860723 \h </w:instrText>
      </w:r>
      <w:r>
        <w:rPr>
          <w:rFonts w:ascii="Arial" w:hAnsi="Arial" w:cs="Arial"/>
          <w:sz w:val="21"/>
          <w:szCs w:val="21"/>
        </w:rPr>
        <w:fldChar w:fldCharType="separate"/>
      </w:r>
      <w:r>
        <w:rPr>
          <w:rFonts w:ascii="Arial" w:hAnsi="Arial" w:cs="Arial"/>
          <w:sz w:val="21"/>
          <w:szCs w:val="21"/>
        </w:rPr>
        <w:t>59</w:t>
      </w:r>
      <w:r>
        <w:rPr>
          <w:rFonts w:ascii="Arial" w:hAnsi="Arial" w:cs="Arial"/>
          <w:sz w:val="21"/>
          <w:szCs w:val="21"/>
        </w:rPr>
        <w:fldChar w:fldCharType="end"/>
      </w:r>
    </w:p>
    <w:p>
      <w:pPr>
        <w:pStyle w:val="35"/>
        <w:spacing w:after="120"/>
        <w:rPr>
          <w:rFonts w:ascii="Arial" w:hAnsi="Arial" w:cs="Arial"/>
          <w:caps w:val="0"/>
          <w:sz w:val="21"/>
          <w:szCs w:val="21"/>
          <w:lang w:val="zh-CN" w:eastAsia="zh-CN"/>
        </w:rPr>
      </w:pPr>
      <w:r>
        <w:rPr>
          <w:rFonts w:ascii="Arial" w:hAnsi="Arial" w:cs="Arial"/>
          <w:bCs/>
          <w:sz w:val="21"/>
          <w:szCs w:val="21"/>
          <w:lang w:val="id-ID"/>
        </w:rPr>
        <w:t>8.</w:t>
      </w:r>
      <w:r>
        <w:rPr>
          <w:rFonts w:ascii="Arial" w:hAnsi="Arial" w:cs="Arial"/>
          <w:caps w:val="0"/>
          <w:sz w:val="21"/>
          <w:szCs w:val="21"/>
          <w:lang w:val="zh-CN" w:eastAsia="zh-CN"/>
        </w:rPr>
        <w:tab/>
      </w:r>
      <w:r>
        <w:rPr>
          <w:rFonts w:ascii="Arial" w:hAnsi="Arial" w:cs="Arial"/>
          <w:sz w:val="21"/>
          <w:szCs w:val="21"/>
          <w:lang w:val="id-ID"/>
        </w:rPr>
        <w:t>[Arbitrase:]</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_Toc74860724 \h </w:instrText>
      </w:r>
      <w:r>
        <w:rPr>
          <w:rFonts w:ascii="Arial" w:hAnsi="Arial" w:cs="Arial"/>
          <w:sz w:val="21"/>
          <w:szCs w:val="21"/>
        </w:rPr>
        <w:fldChar w:fldCharType="separate"/>
      </w:r>
      <w:r>
        <w:rPr>
          <w:rFonts w:ascii="Arial" w:hAnsi="Arial" w:cs="Arial"/>
          <w:sz w:val="21"/>
          <w:szCs w:val="21"/>
        </w:rPr>
        <w:t>59</w:t>
      </w:r>
      <w:r>
        <w:rPr>
          <w:rFonts w:ascii="Arial" w:hAnsi="Arial" w:cs="Arial"/>
          <w:sz w:val="21"/>
          <w:szCs w:val="21"/>
        </w:rPr>
        <w:fldChar w:fldCharType="end"/>
      </w:r>
    </w:p>
    <w:p>
      <w:pPr>
        <w:pStyle w:val="34"/>
        <w:tabs>
          <w:tab w:val="left" w:pos="1440"/>
          <w:tab w:val="right" w:leader="dot" w:pos="8657"/>
        </w:tabs>
        <w:spacing w:after="120"/>
        <w:rPr>
          <w:rFonts w:cs="Arial"/>
          <w:caps w:val="0"/>
          <w:szCs w:val="21"/>
          <w:lang w:val="zh-CN" w:eastAsia="zh-CN"/>
        </w:rPr>
      </w:pPr>
      <w:r>
        <w:rPr>
          <w:rFonts w:cs="Arial"/>
          <w:caps w:val="0"/>
          <w:szCs w:val="21"/>
          <w:lang w:val="id-ID" w:bidi="ar-AE"/>
        </w:rPr>
        <w:t>Schedule 1</w:t>
      </w:r>
      <w:r>
        <w:rPr>
          <w:rFonts w:cs="Arial"/>
          <w:szCs w:val="21"/>
          <w:lang w:val="id-ID" w:bidi="ar-AE"/>
        </w:rPr>
        <w:tab/>
      </w:r>
      <w:r>
        <w:rPr>
          <w:rFonts w:cs="Arial"/>
          <w:szCs w:val="21"/>
          <w:lang w:val="id-ID" w:bidi="ar-AE"/>
        </w:rPr>
        <w:t xml:space="preserve">DEFINISI-DEFINISI </w:t>
      </w:r>
      <w:r>
        <w:rPr>
          <w:rFonts w:cs="Arial"/>
          <w:szCs w:val="21"/>
          <w:lang w:val="en-US" w:bidi="ar-AE"/>
        </w:rPr>
        <w:t>PENTING</w:t>
      </w:r>
      <w:r>
        <w:rPr>
          <w:rFonts w:cs="Arial"/>
          <w:szCs w:val="21"/>
        </w:rPr>
        <w:tab/>
      </w:r>
      <w:r>
        <w:rPr>
          <w:rFonts w:cs="Arial"/>
          <w:szCs w:val="21"/>
        </w:rPr>
        <w:fldChar w:fldCharType="begin"/>
      </w:r>
      <w:r>
        <w:rPr>
          <w:rFonts w:cs="Arial"/>
          <w:szCs w:val="21"/>
        </w:rPr>
        <w:instrText xml:space="preserve"> PAGEREF _Toc74860725 \h </w:instrText>
      </w:r>
      <w:r>
        <w:rPr>
          <w:rFonts w:cs="Arial"/>
          <w:szCs w:val="21"/>
        </w:rPr>
        <w:fldChar w:fldCharType="separate"/>
      </w:r>
      <w:r>
        <w:rPr>
          <w:rFonts w:cs="Arial"/>
          <w:szCs w:val="21"/>
        </w:rPr>
        <w:t>61</w:t>
      </w:r>
      <w:r>
        <w:rPr>
          <w:rFonts w:cs="Arial"/>
          <w:szCs w:val="21"/>
        </w:rPr>
        <w:fldChar w:fldCharType="end"/>
      </w:r>
    </w:p>
    <w:p>
      <w:pPr>
        <w:pStyle w:val="34"/>
        <w:tabs>
          <w:tab w:val="left" w:pos="1440"/>
          <w:tab w:val="right" w:leader="dot" w:pos="8657"/>
        </w:tabs>
        <w:spacing w:after="120"/>
        <w:rPr>
          <w:rFonts w:cs="Arial"/>
          <w:caps w:val="0"/>
          <w:szCs w:val="21"/>
          <w:lang w:val="zh-CN" w:eastAsia="zh-CN"/>
        </w:rPr>
      </w:pPr>
      <w:r>
        <w:rPr>
          <w:rFonts w:cs="Arial"/>
          <w:caps w:val="0"/>
          <w:szCs w:val="21"/>
          <w:lang w:val="id-ID" w:bidi="ar-AE"/>
        </w:rPr>
        <w:t>Lampiran 2</w:t>
      </w:r>
      <w:r>
        <w:rPr>
          <w:rFonts w:cs="Arial"/>
          <w:szCs w:val="21"/>
          <w:lang w:val="id-ID" w:bidi="ar-AE"/>
        </w:rPr>
        <w:tab/>
      </w:r>
      <w:r>
        <w:rPr>
          <w:rFonts w:cs="Arial"/>
          <w:szCs w:val="21"/>
          <w:lang w:val="id-ID" w:bidi="ar-AE"/>
        </w:rPr>
        <w:t>RINCIAN BIAYA-BIAYA PROYEK</w:t>
      </w:r>
      <w:r>
        <w:rPr>
          <w:rFonts w:cs="Arial"/>
          <w:szCs w:val="21"/>
        </w:rPr>
        <w:tab/>
      </w:r>
      <w:r>
        <w:rPr>
          <w:rFonts w:cs="Arial"/>
          <w:szCs w:val="21"/>
        </w:rPr>
        <w:fldChar w:fldCharType="begin"/>
      </w:r>
      <w:r>
        <w:rPr>
          <w:rFonts w:cs="Arial"/>
          <w:szCs w:val="21"/>
        </w:rPr>
        <w:instrText xml:space="preserve"> PAGEREF _Toc74860726 \h </w:instrText>
      </w:r>
      <w:r>
        <w:rPr>
          <w:rFonts w:cs="Arial"/>
          <w:szCs w:val="21"/>
        </w:rPr>
        <w:fldChar w:fldCharType="separate"/>
      </w:r>
      <w:r>
        <w:rPr>
          <w:rFonts w:cs="Arial"/>
          <w:szCs w:val="21"/>
        </w:rPr>
        <w:t>64</w:t>
      </w:r>
      <w:r>
        <w:rPr>
          <w:rFonts w:cs="Arial"/>
          <w:szCs w:val="21"/>
        </w:rPr>
        <w:fldChar w:fldCharType="end"/>
      </w:r>
    </w:p>
    <w:p>
      <w:pPr>
        <w:pStyle w:val="34"/>
        <w:tabs>
          <w:tab w:val="left" w:pos="1440"/>
          <w:tab w:val="right" w:leader="dot" w:pos="8657"/>
        </w:tabs>
        <w:spacing w:after="120"/>
        <w:rPr>
          <w:rFonts w:cs="Arial"/>
          <w:caps w:val="0"/>
          <w:szCs w:val="21"/>
          <w:lang w:val="zh-CN" w:eastAsia="zh-CN"/>
        </w:rPr>
      </w:pPr>
      <w:r>
        <w:rPr>
          <w:rFonts w:cs="Arial"/>
          <w:caps w:val="0"/>
          <w:szCs w:val="21"/>
          <w:lang w:val="id-ID" w:bidi="ar-AE"/>
        </w:rPr>
        <w:t>Lampiran 3</w:t>
      </w:r>
      <w:r>
        <w:rPr>
          <w:rFonts w:cs="Arial"/>
          <w:szCs w:val="21"/>
          <w:lang w:val="id-ID" w:bidi="ar-AE"/>
        </w:rPr>
        <w:tab/>
      </w:r>
      <w:r>
        <w:rPr>
          <w:rFonts w:cs="Arial"/>
          <w:szCs w:val="21"/>
          <w:lang w:val="id-ID" w:bidi="ar-AE"/>
        </w:rPr>
        <w:t>STRUKTUR PEMEGANG SAHAM</w:t>
      </w:r>
      <w:r>
        <w:rPr>
          <w:rFonts w:cs="Arial"/>
          <w:szCs w:val="21"/>
        </w:rPr>
        <w:tab/>
      </w:r>
      <w:r>
        <w:rPr>
          <w:rFonts w:cs="Arial"/>
          <w:szCs w:val="21"/>
        </w:rPr>
        <w:fldChar w:fldCharType="begin"/>
      </w:r>
      <w:r>
        <w:rPr>
          <w:rFonts w:cs="Arial"/>
          <w:szCs w:val="21"/>
        </w:rPr>
        <w:instrText xml:space="preserve"> PAGEREF _Toc74860727 \h </w:instrText>
      </w:r>
      <w:r>
        <w:rPr>
          <w:rFonts w:cs="Arial"/>
          <w:szCs w:val="21"/>
        </w:rPr>
        <w:fldChar w:fldCharType="separate"/>
      </w:r>
      <w:r>
        <w:rPr>
          <w:rFonts w:cs="Arial"/>
          <w:szCs w:val="21"/>
        </w:rPr>
        <w:t>65</w:t>
      </w:r>
      <w:r>
        <w:rPr>
          <w:rFonts w:cs="Arial"/>
          <w:szCs w:val="21"/>
        </w:rPr>
        <w:fldChar w:fldCharType="end"/>
      </w:r>
    </w:p>
    <w:p>
      <w:pPr>
        <w:spacing w:after="120"/>
        <w:jc w:val="center"/>
        <w:rPr>
          <w:rFonts w:ascii="Arial" w:hAnsi="Arial" w:cs="Arial"/>
          <w:sz w:val="21"/>
          <w:szCs w:val="21"/>
        </w:rPr>
        <w:sectPr>
          <w:headerReference r:id="rId5" w:type="first"/>
          <w:footerReference r:id="rId7" w:type="first"/>
          <w:footerReference r:id="rId6" w:type="default"/>
          <w:endnotePr>
            <w:numFmt w:val="lowerLetter"/>
          </w:endnotePr>
          <w:pgSz w:w="11907" w:h="16840"/>
          <w:pgMar w:top="1872" w:right="1440" w:bottom="1440" w:left="1800" w:header="1008" w:footer="1008" w:gutter="0"/>
          <w:pgNumType w:fmt="lowerRoman" w:start="1"/>
          <w:cols w:space="720" w:num="1"/>
          <w:titlePg/>
        </w:sectPr>
      </w:pPr>
      <w:r>
        <w:rPr>
          <w:rFonts w:ascii="Arial" w:hAnsi="Arial" w:cs="Arial"/>
          <w:sz w:val="21"/>
          <w:szCs w:val="21"/>
        </w:rPr>
        <w:fldChar w:fldCharType="end"/>
      </w:r>
    </w:p>
    <w:p>
      <w:pPr>
        <w:spacing w:after="120"/>
        <w:jc w:val="center"/>
        <w:rPr>
          <w:rFonts w:ascii="Arial" w:hAnsi="Arial" w:cs="Arial"/>
          <w:sz w:val="21"/>
          <w:szCs w:val="21"/>
        </w:rPr>
      </w:pPr>
      <w:r>
        <w:rPr>
          <w:rFonts w:ascii="Arial" w:hAnsi="Arial" w:cs="Arial"/>
          <w:b/>
          <w:sz w:val="21"/>
          <w:szCs w:val="21"/>
        </w:rPr>
        <w:t>DAFTAR KETENTUAN</w:t>
      </w:r>
    </w:p>
    <w:p>
      <w:pPr>
        <w:widowControl w:val="0"/>
        <w:spacing w:after="120"/>
        <w:jc w:val="center"/>
        <w:rPr>
          <w:rFonts w:ascii="Arial" w:hAnsi="Arial" w:cs="Arial"/>
          <w:b/>
          <w:sz w:val="21"/>
          <w:szCs w:val="21"/>
        </w:rPr>
      </w:pPr>
      <w:r>
        <w:rPr>
          <w:rFonts w:ascii="Arial" w:hAnsi="Arial" w:cs="Arial"/>
          <w:b/>
          <w:sz w:val="21"/>
          <w:szCs w:val="21"/>
        </w:rPr>
        <w:t>[</w:t>
      </w:r>
      <w:r>
        <w:rPr>
          <w:rFonts w:ascii="Arial" w:hAnsi="Arial" w:cs="Arial"/>
          <w:b/>
          <w:i/>
          <w:iCs/>
          <w:sz w:val="21"/>
          <w:szCs w:val="21"/>
        </w:rPr>
        <w:t xml:space="preserve">Masukkan mata uang dasar dan </w:t>
      </w:r>
      <w:r>
        <w:rPr>
          <w:rFonts w:ascii="Arial" w:hAnsi="Arial" w:cs="Arial"/>
          <w:b/>
          <w:i/>
          <w:iCs/>
          <w:sz w:val="21"/>
          <w:szCs w:val="21"/>
          <w:lang w:val="en-US"/>
        </w:rPr>
        <w:t xml:space="preserve">total </w:t>
      </w:r>
      <w:r>
        <w:rPr>
          <w:rFonts w:ascii="Arial" w:hAnsi="Arial" w:cs="Arial"/>
          <w:b/>
          <w:i/>
          <w:iCs/>
          <w:sz w:val="21"/>
          <w:szCs w:val="21"/>
        </w:rPr>
        <w:t>jumlah fasilitas</w:t>
      </w:r>
      <w:r>
        <w:rPr>
          <w:rFonts w:ascii="Arial" w:hAnsi="Arial" w:cs="Arial"/>
          <w:b/>
          <w:i/>
          <w:iCs/>
          <w:sz w:val="21"/>
          <w:szCs w:val="21"/>
          <w:lang w:val="en-US"/>
        </w:rPr>
        <w:t>-</w:t>
      </w:r>
      <w:r>
        <w:rPr>
          <w:rFonts w:ascii="Arial" w:hAnsi="Arial" w:cs="Arial"/>
          <w:b/>
          <w:i/>
          <w:iCs/>
          <w:sz w:val="21"/>
          <w:szCs w:val="21"/>
        </w:rPr>
        <w:t>fasilitas</w:t>
      </w:r>
      <w:r>
        <w:rPr>
          <w:rFonts w:ascii="Arial" w:hAnsi="Arial" w:cs="Arial"/>
          <w:b/>
          <w:sz w:val="21"/>
          <w:szCs w:val="21"/>
        </w:rPr>
        <w:t>] FASILITAS[-FASILITAS] UNTUK [</w:t>
      </w:r>
      <w:r>
        <w:rPr>
          <w:rFonts w:ascii="Arial" w:hAnsi="Arial" w:cs="Arial"/>
          <w:b/>
          <w:i/>
          <w:iCs/>
          <w:sz w:val="21"/>
          <w:szCs w:val="21"/>
        </w:rPr>
        <w:t>Masukkan nama perusahaan proyek</w:t>
      </w:r>
      <w:r>
        <w:rPr>
          <w:rFonts w:ascii="Arial" w:hAnsi="Arial" w:cs="Arial"/>
          <w:b/>
          <w:sz w:val="21"/>
          <w:szCs w:val="21"/>
        </w:rPr>
        <w:t>]</w:t>
      </w:r>
    </w:p>
    <w:tbl>
      <w:tblPr>
        <w:tblStyle w:val="17"/>
        <w:tblW w:w="5000" w:type="pct"/>
        <w:tblInd w:w="0" w:type="dxa"/>
        <w:tblLayout w:type="fixed"/>
        <w:tblCellMar>
          <w:top w:w="0" w:type="dxa"/>
          <w:left w:w="108" w:type="dxa"/>
          <w:bottom w:w="0" w:type="dxa"/>
          <w:right w:w="108" w:type="dxa"/>
        </w:tblCellMar>
      </w:tblPr>
      <w:tblGrid>
        <w:gridCol w:w="2139"/>
        <w:gridCol w:w="6744"/>
      </w:tblGrid>
      <w:tr>
        <w:tblPrEx>
          <w:tblCellMar>
            <w:top w:w="0" w:type="dxa"/>
            <w:left w:w="108" w:type="dxa"/>
            <w:bottom w:w="0" w:type="dxa"/>
            <w:right w:w="108" w:type="dxa"/>
          </w:tblCellMar>
        </w:tblPrEx>
        <w:tc>
          <w:tcPr>
            <w:tcW w:w="2235" w:type="dxa"/>
          </w:tcPr>
          <w:p>
            <w:pPr>
              <w:widowControl w:val="0"/>
              <w:spacing w:after="120"/>
              <w:jc w:val="left"/>
              <w:rPr>
                <w:rFonts w:ascii="Arial" w:hAnsi="Arial" w:cs="Arial"/>
                <w:b/>
                <w:sz w:val="21"/>
                <w:szCs w:val="21"/>
              </w:rPr>
            </w:pPr>
          </w:p>
        </w:tc>
        <w:tc>
          <w:tcPr>
            <w:tcW w:w="7087" w:type="dxa"/>
          </w:tcPr>
          <w:p>
            <w:pPr>
              <w:widowControl w:val="0"/>
              <w:spacing w:after="120"/>
              <w:rPr>
                <w:rFonts w:ascii="Arial" w:hAnsi="Arial" w:cs="Arial"/>
                <w:sz w:val="21"/>
                <w:szCs w:val="21"/>
              </w:rPr>
            </w:pPr>
          </w:p>
        </w:tc>
      </w:tr>
      <w:tr>
        <w:tblPrEx>
          <w:tblCellMar>
            <w:top w:w="0" w:type="dxa"/>
            <w:left w:w="108" w:type="dxa"/>
            <w:bottom w:w="0" w:type="dxa"/>
            <w:right w:w="108" w:type="dxa"/>
          </w:tblCellMar>
        </w:tblPrEx>
        <w:tc>
          <w:tcPr>
            <w:tcW w:w="9322" w:type="dxa"/>
            <w:gridSpan w:val="2"/>
          </w:tcPr>
          <w:p>
            <w:pPr>
              <w:widowControl w:val="0"/>
              <w:spacing w:after="120"/>
              <w:rPr>
                <w:rFonts w:ascii="Arial" w:hAnsi="Arial" w:cs="Arial"/>
                <w:sz w:val="21"/>
                <w:szCs w:val="21"/>
              </w:rPr>
            </w:pPr>
            <w:r>
              <w:rPr>
                <w:rFonts w:ascii="Arial" w:hAnsi="Arial" w:cs="Arial"/>
                <w:sz w:val="21"/>
                <w:szCs w:val="21"/>
              </w:rPr>
              <w:t xml:space="preserve">[Harap diperhatikan bahwa ketentuan yang ditetapkan dalam Daftar Ketentuan ini hanya bersifat indikatif dan tidak mengikat secara hukum dan bukan merupakan tawaran untuk menyelenggarakan atau membiayai Fasilitas[/-fasilitas].  Penyediaan Fasilitas[/-fasilitas] tunduk pada, antara lain, uji tuntas, terpenuhinya pemeriksaan-pemeriksaan “kenali pelanggan Anda” yang berlaku, finalisasi </w:t>
            </w:r>
            <w:r>
              <w:rPr>
                <w:rFonts w:ascii="Arial" w:hAnsi="Arial" w:cs="Arial"/>
                <w:i/>
                <w:iCs/>
                <w:sz w:val="21"/>
                <w:szCs w:val="21"/>
              </w:rPr>
              <w:t>Financial Model</w:t>
            </w:r>
            <w:r>
              <w:rPr>
                <w:rFonts w:ascii="Arial" w:hAnsi="Arial" w:cs="Arial"/>
                <w:sz w:val="21"/>
                <w:szCs w:val="21"/>
              </w:rPr>
              <w:t>, seluruh persetujuan internal (termasuk, namun tidak terbatas pada, persetujuan komite kredit)[, syarat-syarat dan ketentuan-ketentuan dari Surat Pelimpahan Wewenang] dan dokumen</w:t>
            </w:r>
            <w:r>
              <w:rPr>
                <w:rFonts w:ascii="Arial" w:hAnsi="Arial" w:cs="Arial"/>
                <w:sz w:val="21"/>
                <w:szCs w:val="21"/>
                <w:lang w:val="en-US"/>
              </w:rPr>
              <w:t xml:space="preserve">-dokumen </w:t>
            </w:r>
            <w:r>
              <w:rPr>
                <w:rFonts w:ascii="Arial" w:hAnsi="Arial" w:cs="Arial"/>
                <w:sz w:val="21"/>
                <w:szCs w:val="21"/>
              </w:rPr>
              <w:t xml:space="preserve">yang dapat diterima.] Daftar Ketentuan ini tidak dimaksudkan untuk memuat seluruh ketentuan dari setiap </w:t>
            </w:r>
            <w:r>
              <w:rPr>
                <w:rFonts w:ascii="Arial" w:hAnsi="Arial" w:cs="Arial"/>
                <w:sz w:val="21"/>
                <w:szCs w:val="21"/>
                <w:lang w:val="en-US"/>
              </w:rPr>
              <w:t xml:space="preserve">usulan </w:t>
            </w:r>
            <w:r>
              <w:rPr>
                <w:rFonts w:ascii="Arial" w:hAnsi="Arial" w:cs="Arial"/>
                <w:sz w:val="21"/>
                <w:szCs w:val="21"/>
              </w:rPr>
              <w:t>pembiayaan.</w:t>
            </w:r>
          </w:p>
        </w:tc>
      </w:tr>
      <w:tr>
        <w:tblPrEx>
          <w:tblCellMar>
            <w:top w:w="0" w:type="dxa"/>
            <w:left w:w="108" w:type="dxa"/>
            <w:bottom w:w="0" w:type="dxa"/>
            <w:right w:w="108" w:type="dxa"/>
          </w:tblCellMar>
        </w:tblPrEx>
        <w:tc>
          <w:tcPr>
            <w:tcW w:w="9322" w:type="dxa"/>
            <w:gridSpan w:val="2"/>
          </w:tcPr>
          <w:p>
            <w:pPr>
              <w:widowControl w:val="0"/>
              <w:spacing w:after="120"/>
              <w:jc w:val="center"/>
              <w:rPr>
                <w:rFonts w:ascii="Arial" w:hAnsi="Arial" w:cs="Arial"/>
                <w:sz w:val="21"/>
                <w:szCs w:val="21"/>
              </w:rPr>
            </w:pPr>
          </w:p>
        </w:tc>
      </w:tr>
    </w:tbl>
    <w:p>
      <w:pPr>
        <w:widowControl w:val="0"/>
        <w:spacing w:after="120"/>
        <w:jc w:val="center"/>
        <w:rPr>
          <w:rFonts w:ascii="Arial" w:hAnsi="Arial" w:cs="Arial"/>
          <w:sz w:val="21"/>
          <w:szCs w:val="21"/>
        </w:rPr>
      </w:pPr>
      <w:r>
        <w:rPr>
          <w:rFonts w:ascii="Arial" w:hAnsi="Arial" w:cs="Arial"/>
          <w:sz w:val="21"/>
          <w:szCs w:val="21"/>
        </w:rPr>
        <w:t>[TANGGAL]</w:t>
      </w:r>
    </w:p>
    <w:p>
      <w:pPr>
        <w:widowControl w:val="0"/>
        <w:spacing w:after="120"/>
        <w:jc w:val="center"/>
        <w:rPr>
          <w:rFonts w:ascii="Arial" w:hAnsi="Arial" w:cs="Arial"/>
          <w:sz w:val="21"/>
          <w:szCs w:val="21"/>
        </w:rPr>
      </w:pPr>
      <w:r>
        <w:rPr>
          <w:rFonts w:ascii="Arial" w:hAnsi="Arial" w:cs="Arial"/>
          <w:sz w:val="21"/>
          <w:szCs w:val="21"/>
        </w:rPr>
        <w:t xml:space="preserve">[NAMA PARA </w:t>
      </w:r>
      <w:r>
        <w:rPr>
          <w:rFonts w:ascii="Arial" w:hAnsi="Arial" w:cs="Arial"/>
          <w:i/>
          <w:iCs/>
          <w:sz w:val="21"/>
          <w:szCs w:val="21"/>
        </w:rPr>
        <w:t>MANDATED LEAD ARRANGER</w:t>
      </w:r>
      <w:r>
        <w:rPr>
          <w:rFonts w:ascii="Arial" w:hAnsi="Arial" w:cs="Arial"/>
          <w:sz w:val="21"/>
          <w:szCs w:val="21"/>
        </w:rPr>
        <w:t>]</w:t>
      </w:r>
    </w:p>
    <w:p>
      <w:pPr>
        <w:pStyle w:val="107"/>
        <w:spacing w:after="120"/>
        <w:rPr>
          <w:rFonts w:ascii="Arial" w:hAnsi="Arial" w:cs="Arial"/>
          <w:sz w:val="21"/>
          <w:szCs w:val="21"/>
        </w:rPr>
      </w:pPr>
      <w:bookmarkStart w:id="1" w:name="_Toc74557519"/>
      <w:bookmarkStart w:id="2" w:name="_Toc74860665"/>
      <w:r>
        <w:rPr>
          <w:rFonts w:ascii="Arial" w:hAnsi="Arial" w:cs="Arial"/>
          <w:sz w:val="21"/>
          <w:szCs w:val="21"/>
        </w:rPr>
        <w:t>para pihak</w:t>
      </w:r>
      <w:bookmarkEnd w:id="1"/>
      <w:bookmarkEnd w:id="2"/>
    </w:p>
    <w:tbl>
      <w:tblPr>
        <w:tblStyle w:val="17"/>
        <w:tblW w:w="5000" w:type="pct"/>
        <w:tblInd w:w="0" w:type="dxa"/>
        <w:tblLayout w:type="fixed"/>
        <w:tblCellMar>
          <w:top w:w="0" w:type="dxa"/>
          <w:left w:w="108" w:type="dxa"/>
          <w:bottom w:w="0" w:type="dxa"/>
          <w:right w:w="108" w:type="dxa"/>
        </w:tblCellMar>
      </w:tblPr>
      <w:tblGrid>
        <w:gridCol w:w="3619"/>
        <w:gridCol w:w="5264"/>
      </w:tblGrid>
      <w:tr>
        <w:tblPrEx>
          <w:tblCellMar>
            <w:top w:w="0" w:type="dxa"/>
            <w:left w:w="108" w:type="dxa"/>
            <w:bottom w:w="0" w:type="dxa"/>
            <w:right w:w="108" w:type="dxa"/>
          </w:tblCellMar>
        </w:tblPrEx>
        <w:tc>
          <w:tcPr>
            <w:tcW w:w="3531" w:type="dxa"/>
          </w:tcPr>
          <w:p>
            <w:pPr>
              <w:pStyle w:val="105"/>
              <w:spacing w:after="120"/>
              <w:rPr>
                <w:rFonts w:ascii="Arial" w:hAnsi="Arial" w:cs="Arial"/>
                <w:b w:val="0"/>
                <w:sz w:val="21"/>
                <w:szCs w:val="21"/>
              </w:rPr>
            </w:pPr>
            <w:bookmarkStart w:id="3" w:name="_Toc74860666"/>
            <w:bookmarkStart w:id="4" w:name="_Toc74557520"/>
            <w:r>
              <w:rPr>
                <w:rFonts w:ascii="Arial" w:hAnsi="Arial" w:cs="Arial"/>
                <w:sz w:val="21"/>
                <w:szCs w:val="21"/>
              </w:rPr>
              <w:t>PARA PIHAK EKUITAS</w:t>
            </w:r>
            <w:bookmarkEnd w:id="3"/>
            <w:bookmarkEnd w:id="4"/>
            <w:r>
              <w:rPr>
                <w:rFonts w:ascii="Arial" w:hAnsi="Arial" w:cs="Arial"/>
                <w:sz w:val="21"/>
                <w:szCs w:val="21"/>
              </w:rPr>
              <w:t xml:space="preserve"> </w:t>
            </w:r>
          </w:p>
        </w:tc>
        <w:tc>
          <w:tcPr>
            <w:tcW w:w="5136" w:type="dxa"/>
          </w:tcPr>
          <w:p>
            <w:pPr>
              <w:widowControl w:val="0"/>
              <w:spacing w:after="120"/>
              <w:rPr>
                <w:rFonts w:ascii="Arial" w:hAnsi="Arial" w:cs="Arial"/>
                <w:sz w:val="21"/>
                <w:szCs w:val="21"/>
              </w:rPr>
            </w:pP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sz w:val="21"/>
                <w:szCs w:val="21"/>
              </w:rPr>
            </w:pPr>
            <w:r>
              <w:rPr>
                <w:rFonts w:ascii="Arial" w:hAnsi="Arial" w:cs="Arial"/>
                <w:b/>
                <w:sz w:val="21"/>
                <w:szCs w:val="21"/>
              </w:rPr>
              <w:t>Debitur</w:t>
            </w:r>
            <w:r>
              <w:rPr>
                <w:rFonts w:ascii="Arial" w:hAnsi="Arial" w:cs="Arial"/>
                <w:sz w:val="21"/>
                <w:szCs w:val="21"/>
              </w:rPr>
              <w:t>:</w:t>
            </w:r>
          </w:p>
        </w:tc>
        <w:tc>
          <w:tcPr>
            <w:tcW w:w="5136" w:type="dxa"/>
          </w:tcPr>
          <w:p>
            <w:pPr>
              <w:widowControl w:val="0"/>
              <w:spacing w:after="120"/>
              <w:rPr>
                <w:rFonts w:ascii="Arial" w:hAnsi="Arial" w:cs="Arial"/>
                <w:sz w:val="21"/>
                <w:szCs w:val="21"/>
              </w:rPr>
            </w:pPr>
            <w:r>
              <w:rPr>
                <w:rFonts w:ascii="Arial" w:hAnsi="Arial" w:cs="Arial"/>
                <w:sz w:val="21"/>
                <w:szCs w:val="21"/>
              </w:rPr>
              <w:t>[</w:t>
            </w:r>
            <w:r>
              <w:rPr>
                <w:rFonts w:ascii="Arial" w:hAnsi="Arial" w:cs="Arial"/>
                <w:i/>
                <w:sz w:val="21"/>
                <w:szCs w:val="21"/>
              </w:rPr>
              <w:t>Masukkan nama perusahaan proyek</w:t>
            </w:r>
            <w:r>
              <w:rPr>
                <w:rFonts w:ascii="Arial" w:hAnsi="Arial" w:cs="Arial"/>
                <w:sz w:val="21"/>
                <w:szCs w:val="21"/>
              </w:rPr>
              <w:t>] ("</w:t>
            </w:r>
            <w:bookmarkStart w:id="5" w:name="_9kR3WTr1784EIZV1ulfvWM35utI"/>
            <w:bookmarkStart w:id="6" w:name="_9kR3WTr178468XV1ulfvWM35utI"/>
            <w:r>
              <w:rPr>
                <w:rFonts w:ascii="Arial" w:hAnsi="Arial" w:cs="Arial"/>
                <w:b/>
                <w:bCs/>
                <w:sz w:val="21"/>
                <w:szCs w:val="21"/>
              </w:rPr>
              <w:t>Perusahaan Proyek</w:t>
            </w:r>
            <w:bookmarkEnd w:id="5"/>
            <w:bookmarkEnd w:id="6"/>
            <w:r>
              <w:rPr>
                <w:rFonts w:ascii="Arial" w:hAnsi="Arial" w:cs="Arial"/>
                <w:sz w:val="21"/>
                <w:szCs w:val="21"/>
              </w:rPr>
              <w:t>").</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sz w:val="21"/>
                <w:szCs w:val="21"/>
              </w:rPr>
            </w:pPr>
            <w:r>
              <w:rPr>
                <w:rFonts w:ascii="Arial" w:hAnsi="Arial" w:cs="Arial"/>
                <w:b/>
                <w:sz w:val="21"/>
                <w:szCs w:val="21"/>
              </w:rPr>
              <w:t>Para Sponsor</w:t>
            </w:r>
            <w:r>
              <w:rPr>
                <w:rStyle w:val="25"/>
                <w:rFonts w:ascii="Arial" w:hAnsi="Arial" w:cs="Arial"/>
                <w:b/>
                <w:sz w:val="21"/>
                <w:szCs w:val="21"/>
              </w:rPr>
              <w:footnoteReference w:id="0"/>
            </w:r>
            <w:r>
              <w:rPr>
                <w:rFonts w:ascii="Arial" w:hAnsi="Arial" w:cs="Arial"/>
                <w:sz w:val="21"/>
                <w:szCs w:val="21"/>
              </w:rPr>
              <w:t>:</w:t>
            </w:r>
          </w:p>
        </w:tc>
        <w:tc>
          <w:tcPr>
            <w:tcW w:w="5136" w:type="dxa"/>
          </w:tcPr>
          <w:p>
            <w:pPr>
              <w:widowControl w:val="0"/>
              <w:spacing w:after="120"/>
              <w:rPr>
                <w:rFonts w:ascii="Arial" w:hAnsi="Arial" w:cs="Arial"/>
                <w:sz w:val="21"/>
                <w:szCs w:val="21"/>
              </w:rPr>
            </w:pPr>
            <w:r>
              <w:rPr>
                <w:rFonts w:ascii="Arial" w:hAnsi="Arial" w:cs="Arial"/>
                <w:sz w:val="21"/>
                <w:szCs w:val="21"/>
              </w:rPr>
              <w:t>[</w:t>
            </w:r>
            <w:r>
              <w:rPr>
                <w:rFonts w:ascii="Arial" w:hAnsi="Arial" w:cs="Arial"/>
                <w:i/>
                <w:iCs/>
                <w:sz w:val="21"/>
                <w:szCs w:val="21"/>
                <w:lang w:val="en-US"/>
              </w:rPr>
              <w:t>Sebutkan</w:t>
            </w:r>
            <w:r>
              <w:rPr>
                <w:rFonts w:ascii="Arial" w:hAnsi="Arial" w:cs="Arial"/>
                <w:sz w:val="21"/>
                <w:szCs w:val="21"/>
                <w:lang w:val="en-US"/>
              </w:rPr>
              <w:t xml:space="preserve"> </w:t>
            </w:r>
            <w:r>
              <w:rPr>
                <w:rFonts w:ascii="Arial" w:hAnsi="Arial" w:cs="Arial"/>
                <w:i/>
                <w:iCs/>
                <w:sz w:val="21"/>
                <w:szCs w:val="21"/>
              </w:rPr>
              <w:t>para sponsor Proyek</w:t>
            </w:r>
            <w:r>
              <w:rPr>
                <w:rFonts w:ascii="Arial" w:hAnsi="Arial" w:cs="Arial"/>
                <w:sz w:val="21"/>
                <w:szCs w:val="21"/>
              </w:rPr>
              <w:t>].</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[Para Pemegang Saham:</w:t>
            </w:r>
            <w:r>
              <w:rPr>
                <w:rStyle w:val="25"/>
                <w:rFonts w:ascii="Arial" w:hAnsi="Arial" w:cs="Arial"/>
                <w:b/>
                <w:sz w:val="21"/>
                <w:szCs w:val="21"/>
              </w:rPr>
              <w:footnoteReference w:id="1"/>
            </w:r>
            <w:r>
              <w:rPr>
                <w:rFonts w:ascii="Arial" w:hAnsi="Arial" w:cs="Arial"/>
                <w:b/>
                <w:sz w:val="21"/>
                <w:szCs w:val="21"/>
              </w:rPr>
              <w:t>]</w:t>
            </w:r>
          </w:p>
        </w:tc>
        <w:tc>
          <w:tcPr>
            <w:tcW w:w="5136" w:type="dxa"/>
          </w:tcPr>
          <w:p>
            <w:pPr>
              <w:widowControl w:val="0"/>
              <w:spacing w:after="120"/>
              <w:rPr>
                <w:rFonts w:ascii="Arial" w:hAnsi="Arial" w:cs="Arial"/>
                <w:sz w:val="21"/>
                <w:szCs w:val="21"/>
              </w:rPr>
            </w:pPr>
            <w:r>
              <w:rPr>
                <w:rFonts w:ascii="Arial" w:hAnsi="Arial" w:cs="Arial"/>
                <w:sz w:val="21"/>
                <w:szCs w:val="21"/>
              </w:rPr>
              <w:t>[</w:t>
            </w:r>
            <w:r>
              <w:rPr>
                <w:rFonts w:ascii="Arial" w:hAnsi="Arial" w:cs="Arial"/>
                <w:i/>
                <w:iCs/>
                <w:sz w:val="21"/>
                <w:szCs w:val="21"/>
                <w:lang w:val="en-US"/>
              </w:rPr>
              <w:t xml:space="preserve">Sebutkan </w:t>
            </w:r>
            <w:r>
              <w:rPr>
                <w:rFonts w:ascii="Arial" w:hAnsi="Arial" w:cs="Arial"/>
                <w:i/>
                <w:iCs/>
                <w:sz w:val="21"/>
                <w:szCs w:val="21"/>
              </w:rPr>
              <w:t>para pemegang saham Perusahaan Proyek</w:t>
            </w:r>
            <w:r>
              <w:rPr>
                <w:rFonts w:ascii="Arial" w:hAnsi="Arial" w:cs="Arial"/>
                <w:sz w:val="21"/>
                <w:szCs w:val="21"/>
              </w:rPr>
              <w:t>].</w:t>
            </w:r>
          </w:p>
        </w:tc>
      </w:tr>
      <w:tr>
        <w:tblPrEx>
          <w:tblCellMar>
            <w:top w:w="0" w:type="dxa"/>
            <w:left w:w="108" w:type="dxa"/>
            <w:bottom w:w="0" w:type="dxa"/>
            <w:right w:w="108" w:type="dxa"/>
          </w:tblCellMar>
        </w:tblPrEx>
        <w:trPr>
          <w:trHeight w:val="625" w:hRule="atLeast"/>
        </w:trPr>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[Struktur Pemegang Saham:]</w:t>
            </w:r>
          </w:p>
        </w:tc>
        <w:tc>
          <w:tcPr>
            <w:tcW w:w="5136" w:type="dxa"/>
          </w:tcPr>
          <w:p>
            <w:pPr>
              <w:widowControl w:val="0"/>
              <w:spacing w:after="120"/>
              <w:rPr>
                <w:rFonts w:ascii="Arial" w:hAnsi="Arial" w:cs="Arial"/>
                <w:sz w:val="21"/>
                <w:szCs w:val="21"/>
              </w:rPr>
            </w:pPr>
            <w:r>
              <w:rPr>
                <w:rFonts w:ascii="Arial" w:hAnsi="Arial" w:cs="Arial"/>
                <w:sz w:val="21"/>
                <w:szCs w:val="21"/>
              </w:rPr>
              <w:t>[</w:t>
            </w:r>
            <w:r>
              <w:rPr>
                <w:rFonts w:ascii="Arial" w:hAnsi="Arial" w:cs="Arial"/>
                <w:i/>
                <w:iCs/>
                <w:sz w:val="21"/>
                <w:szCs w:val="21"/>
              </w:rPr>
              <w:t xml:space="preserve">Masukkan persentase-persentase kepentingan </w:t>
            </w:r>
            <w:r>
              <w:rPr>
                <w:rFonts w:ascii="Arial" w:hAnsi="Arial" w:cs="Arial"/>
                <w:i/>
                <w:iCs/>
                <w:sz w:val="21"/>
                <w:szCs w:val="21"/>
                <w:lang w:val="en-US"/>
              </w:rPr>
              <w:t xml:space="preserve">dari </w:t>
            </w:r>
            <w:r>
              <w:rPr>
                <w:rFonts w:ascii="Arial" w:hAnsi="Arial" w:cs="Arial"/>
                <w:i/>
                <w:iCs/>
                <w:sz w:val="21"/>
                <w:szCs w:val="21"/>
              </w:rPr>
              <w:t xml:space="preserve">masing-masing Pemegang Saham/Sponsor pada Perusahaan Proyek pada </w:t>
            </w:r>
            <w:r>
              <w:rPr>
                <w:rFonts w:ascii="Arial" w:hAnsi="Arial" w:cs="Arial"/>
                <w:i/>
                <w:iCs/>
                <w:sz w:val="21"/>
                <w:szCs w:val="21"/>
                <w:lang w:val="en-US"/>
              </w:rPr>
              <w:t xml:space="preserve">saat </w:t>
            </w:r>
            <w:r>
              <w:rPr>
                <w:rFonts w:ascii="Arial" w:hAnsi="Arial" w:cs="Arial"/>
                <w:i/>
                <w:iCs/>
                <w:sz w:val="21"/>
                <w:szCs w:val="21"/>
              </w:rPr>
              <w:t>Pemenuhan Pembiayaan</w:t>
            </w:r>
            <w:r>
              <w:rPr>
                <w:rFonts w:ascii="Arial" w:hAnsi="Arial" w:cs="Arial"/>
                <w:sz w:val="21"/>
                <w:szCs w:val="21"/>
              </w:rPr>
              <w:t>].</w:t>
            </w:r>
          </w:p>
        </w:tc>
      </w:tr>
      <w:tr>
        <w:tblPrEx>
          <w:tblCellMar>
            <w:top w:w="0" w:type="dxa"/>
            <w:left w:w="108" w:type="dxa"/>
            <w:bottom w:w="0" w:type="dxa"/>
            <w:right w:w="108" w:type="dxa"/>
          </w:tblCellMar>
        </w:tblPrEx>
        <w:tc>
          <w:tcPr>
            <w:tcW w:w="3531" w:type="dxa"/>
          </w:tcPr>
          <w:p>
            <w:pPr>
              <w:pStyle w:val="105"/>
              <w:spacing w:after="120"/>
              <w:rPr>
                <w:rFonts w:ascii="Arial" w:hAnsi="Arial" w:cs="Arial"/>
                <w:b w:val="0"/>
                <w:sz w:val="21"/>
                <w:szCs w:val="21"/>
              </w:rPr>
            </w:pPr>
            <w:bookmarkStart w:id="7" w:name="_Toc74860667"/>
            <w:bookmarkStart w:id="8" w:name="_Toc74557521"/>
            <w:r>
              <w:rPr>
                <w:rFonts w:ascii="Arial" w:hAnsi="Arial" w:cs="Arial"/>
                <w:sz w:val="21"/>
                <w:szCs w:val="21"/>
              </w:rPr>
              <w:t xml:space="preserve">PARA PIHAK LAWAN BERKONTRAK </w:t>
            </w:r>
            <w:r>
              <w:rPr>
                <w:rFonts w:ascii="Arial" w:hAnsi="Arial" w:cs="Arial"/>
                <w:sz w:val="21"/>
                <w:szCs w:val="21"/>
                <w:lang w:val="en-US"/>
              </w:rPr>
              <w:t xml:space="preserve">DALAM </w:t>
            </w:r>
            <w:r>
              <w:rPr>
                <w:rFonts w:ascii="Arial" w:hAnsi="Arial" w:cs="Arial"/>
                <w:sz w:val="21"/>
                <w:szCs w:val="21"/>
              </w:rPr>
              <w:t>PROYEK</w:t>
            </w:r>
            <w:r>
              <w:rPr>
                <w:rStyle w:val="25"/>
                <w:rFonts w:ascii="Arial" w:hAnsi="Arial" w:cs="Arial"/>
                <w:b w:val="0"/>
                <w:sz w:val="21"/>
                <w:szCs w:val="21"/>
              </w:rPr>
              <w:footnoteReference w:id="2"/>
            </w:r>
            <w:bookmarkEnd w:id="7"/>
            <w:bookmarkEnd w:id="8"/>
          </w:p>
        </w:tc>
        <w:tc>
          <w:tcPr>
            <w:tcW w:w="5136" w:type="dxa"/>
          </w:tcPr>
          <w:p>
            <w:pPr>
              <w:widowControl w:val="0"/>
              <w:spacing w:after="120"/>
              <w:rPr>
                <w:rFonts w:ascii="Arial" w:hAnsi="Arial" w:cs="Arial"/>
                <w:sz w:val="21"/>
                <w:szCs w:val="21"/>
              </w:rPr>
            </w:pP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Kontraktor Konstruksi:</w:t>
            </w:r>
          </w:p>
        </w:tc>
        <w:tc>
          <w:tcPr>
            <w:tcW w:w="5136" w:type="dxa"/>
          </w:tcPr>
          <w:p>
            <w:pPr>
              <w:widowControl w:val="0"/>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w:t>
            </w:r>
            <w:r>
              <w:rPr>
                <w:rFonts w:ascii="Arial" w:hAnsi="Arial" w:cs="Arial"/>
                <w:sz w:val="21"/>
                <w:szCs w:val="21"/>
              </w:rPr>
              <w:t>].</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Kontraktor O&amp;P:</w:t>
            </w:r>
          </w:p>
        </w:tc>
        <w:tc>
          <w:tcPr>
            <w:tcW w:w="5136" w:type="dxa"/>
          </w:tcPr>
          <w:p>
            <w:pPr>
              <w:widowControl w:val="0"/>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w:t>
            </w:r>
            <w:r>
              <w:rPr>
                <w:rFonts w:ascii="Arial" w:hAnsi="Arial" w:cs="Arial"/>
                <w:sz w:val="21"/>
                <w:szCs w:val="21"/>
              </w:rPr>
              <w:t>].</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Para Pemasok:</w:t>
            </w:r>
          </w:p>
        </w:tc>
        <w:tc>
          <w:tcPr>
            <w:tcW w:w="5136" w:type="dxa"/>
          </w:tcPr>
          <w:p>
            <w:pPr>
              <w:widowControl w:val="0"/>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w:t>
            </w:r>
            <w:r>
              <w:rPr>
                <w:rFonts w:ascii="Arial" w:hAnsi="Arial" w:cs="Arial"/>
                <w:sz w:val="21"/>
                <w:szCs w:val="21"/>
              </w:rPr>
              <w:t>].</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Para Pembeli (</w:t>
            </w:r>
            <w:r>
              <w:rPr>
                <w:rFonts w:ascii="Arial" w:hAnsi="Arial" w:cs="Arial"/>
                <w:b/>
                <w:i/>
                <w:iCs/>
                <w:sz w:val="21"/>
                <w:szCs w:val="21"/>
              </w:rPr>
              <w:t>Offtaker</w:t>
            </w:r>
            <w:r>
              <w:rPr>
                <w:rFonts w:ascii="Arial" w:hAnsi="Arial" w:cs="Arial"/>
                <w:b/>
                <w:sz w:val="21"/>
                <w:szCs w:val="21"/>
              </w:rPr>
              <w:t>):</w:t>
            </w:r>
          </w:p>
        </w:tc>
        <w:tc>
          <w:tcPr>
            <w:tcW w:w="5136" w:type="dxa"/>
          </w:tcPr>
          <w:p>
            <w:pPr>
              <w:widowControl w:val="0"/>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w:t>
            </w:r>
            <w:r>
              <w:rPr>
                <w:rFonts w:ascii="Arial" w:hAnsi="Arial" w:cs="Arial"/>
                <w:sz w:val="21"/>
                <w:szCs w:val="21"/>
              </w:rPr>
              <w:t>].</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w:t>
            </w:r>
            <w:r>
              <w:rPr>
                <w:rFonts w:ascii="Arial" w:hAnsi="Arial" w:cs="Arial"/>
                <w:b/>
                <w:i/>
                <w:iCs/>
                <w:sz w:val="21"/>
                <w:szCs w:val="21"/>
              </w:rPr>
              <w:t>Masukkan</w:t>
            </w:r>
            <w:r>
              <w:rPr>
                <w:rFonts w:ascii="Arial" w:hAnsi="Arial" w:cs="Arial"/>
                <w:b/>
                <w:sz w:val="21"/>
                <w:szCs w:val="21"/>
              </w:rPr>
              <w:t>]</w:t>
            </w:r>
          </w:p>
        </w:tc>
        <w:tc>
          <w:tcPr>
            <w:tcW w:w="5136" w:type="dxa"/>
          </w:tcPr>
          <w:p>
            <w:pPr>
              <w:widowControl w:val="0"/>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w:t>
            </w:r>
            <w:r>
              <w:rPr>
                <w:rFonts w:ascii="Arial" w:hAnsi="Arial" w:cs="Arial"/>
                <w:sz w:val="21"/>
                <w:szCs w:val="21"/>
              </w:rPr>
              <w:t>].</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Para Partisipan Proyek Utama:</w:t>
            </w:r>
            <w:r>
              <w:rPr>
                <w:rStyle w:val="25"/>
                <w:rFonts w:ascii="Arial" w:hAnsi="Arial" w:cs="Arial"/>
                <w:b/>
                <w:bCs/>
                <w:sz w:val="21"/>
                <w:szCs w:val="21"/>
              </w:rPr>
              <w:footnoteReference w:id="3"/>
            </w:r>
          </w:p>
        </w:tc>
        <w:tc>
          <w:tcPr>
            <w:tcW w:w="5136" w:type="dxa"/>
          </w:tcPr>
          <w:p>
            <w:pPr>
              <w:pStyle w:val="47"/>
              <w:widowControl w:val="0"/>
              <w:numPr>
                <w:ilvl w:val="0"/>
                <w:numId w:val="16"/>
              </w:numPr>
              <w:spacing w:after="120"/>
              <w:ind w:hanging="720"/>
              <w:contextualSpacing w:val="0"/>
              <w:rPr>
                <w:rFonts w:ascii="Arial" w:hAnsi="Arial" w:cs="Arial"/>
                <w:sz w:val="21"/>
                <w:szCs w:val="21"/>
              </w:rPr>
            </w:pPr>
            <w:r>
              <w:rPr>
                <w:rFonts w:ascii="Arial" w:hAnsi="Arial" w:cs="Arial"/>
                <w:sz w:val="21"/>
                <w:szCs w:val="21"/>
              </w:rPr>
              <w:t>[[</w:t>
            </w:r>
            <w:r>
              <w:rPr>
                <w:rFonts w:ascii="Arial" w:hAnsi="Arial" w:cs="Arial"/>
                <w:i/>
                <w:iCs/>
                <w:sz w:val="21"/>
                <w:szCs w:val="21"/>
              </w:rPr>
              <w:t>Kontraktor Konstruksi</w:t>
            </w:r>
            <w:r>
              <w:rPr>
                <w:rFonts w:ascii="Arial" w:hAnsi="Arial" w:cs="Arial"/>
                <w:sz w:val="21"/>
                <w:szCs w:val="21"/>
              </w:rPr>
              <w:t xml:space="preserve">] (sampai akhir [periode pemberitahuan </w:t>
            </w:r>
            <w:r>
              <w:rPr>
                <w:rFonts w:ascii="Arial" w:hAnsi="Arial" w:cs="Arial"/>
                <w:sz w:val="21"/>
                <w:szCs w:val="21"/>
                <w:lang w:val="en-US"/>
              </w:rPr>
              <w:t>kecacatan</w:t>
            </w:r>
            <w:r>
              <w:rPr>
                <w:rFonts w:ascii="Arial" w:hAnsi="Arial" w:cs="Arial"/>
                <w:sz w:val="21"/>
                <w:szCs w:val="21"/>
              </w:rPr>
              <w:t>]</w:t>
            </w:r>
            <w:r>
              <w:rPr>
                <w:rStyle w:val="25"/>
                <w:rFonts w:ascii="Arial" w:hAnsi="Arial" w:cs="Arial"/>
                <w:sz w:val="21"/>
                <w:szCs w:val="21"/>
              </w:rPr>
              <w:footnoteReference w:id="4"/>
            </w:r>
            <w:r>
              <w:rPr>
                <w:rFonts w:ascii="Arial" w:hAnsi="Arial" w:cs="Arial"/>
                <w:sz w:val="21"/>
                <w:szCs w:val="21"/>
              </w:rPr>
              <w:t xml:space="preserve"> berdasarkan Kontrak Konstruksi);] </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47"/>
              <w:widowControl w:val="0"/>
              <w:numPr>
                <w:ilvl w:val="0"/>
                <w:numId w:val="16"/>
              </w:numPr>
              <w:spacing w:after="120"/>
              <w:ind w:hanging="720"/>
              <w:contextualSpacing w:val="0"/>
              <w:rPr>
                <w:rFonts w:ascii="Arial" w:hAnsi="Arial" w:cs="Arial"/>
                <w:sz w:val="21"/>
                <w:szCs w:val="21"/>
              </w:rPr>
            </w:pPr>
            <w:r>
              <w:rPr>
                <w:rFonts w:ascii="Arial" w:hAnsi="Arial" w:cs="Arial"/>
                <w:sz w:val="21"/>
                <w:szCs w:val="21"/>
              </w:rPr>
              <w:t>[</w:t>
            </w:r>
            <w:r>
              <w:rPr>
                <w:rFonts w:ascii="Arial" w:hAnsi="Arial" w:cs="Arial"/>
                <w:i/>
                <w:iCs/>
                <w:sz w:val="21"/>
                <w:szCs w:val="21"/>
              </w:rPr>
              <w:t>Kontraktor O&amp;P, ketika kesepakatan-kesepakatan tersebut telah diberlakukan</w:t>
            </w:r>
            <w:r>
              <w:rPr>
                <w:rFonts w:ascii="Arial" w:hAnsi="Arial" w:cs="Arial"/>
                <w:sz w:val="21"/>
                <w:szCs w:val="21"/>
              </w:rPr>
              <w:t>];</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47"/>
              <w:widowControl w:val="0"/>
              <w:numPr>
                <w:ilvl w:val="0"/>
                <w:numId w:val="16"/>
              </w:numPr>
              <w:spacing w:after="120"/>
              <w:ind w:hanging="720"/>
              <w:contextualSpacing w:val="0"/>
              <w:rPr>
                <w:rFonts w:ascii="Arial" w:hAnsi="Arial" w:cs="Arial"/>
                <w:sz w:val="21"/>
                <w:szCs w:val="21"/>
              </w:rPr>
            </w:pPr>
            <w:r>
              <w:rPr>
                <w:rFonts w:ascii="Arial" w:hAnsi="Arial" w:cs="Arial"/>
                <w:sz w:val="21"/>
                <w:szCs w:val="21"/>
              </w:rPr>
              <w:t>[</w:t>
            </w:r>
            <w:r>
              <w:rPr>
                <w:rFonts w:ascii="Arial" w:hAnsi="Arial" w:cs="Arial"/>
                <w:i/>
                <w:iCs/>
                <w:sz w:val="21"/>
                <w:szCs w:val="21"/>
              </w:rPr>
              <w:t>Para</w:t>
            </w:r>
            <w:r>
              <w:rPr>
                <w:rFonts w:ascii="Arial" w:hAnsi="Arial" w:cs="Arial"/>
                <w:sz w:val="21"/>
                <w:szCs w:val="21"/>
              </w:rPr>
              <w:t xml:space="preserve"> </w:t>
            </w:r>
            <w:r>
              <w:rPr>
                <w:rFonts w:ascii="Arial" w:hAnsi="Arial" w:cs="Arial"/>
                <w:i/>
                <w:iCs/>
                <w:sz w:val="21"/>
                <w:szCs w:val="21"/>
              </w:rPr>
              <w:t>Pemasok</w:t>
            </w:r>
            <w:r>
              <w:rPr>
                <w:rFonts w:ascii="Arial" w:hAnsi="Arial" w:cs="Arial"/>
                <w:sz w:val="21"/>
                <w:szCs w:val="21"/>
              </w:rPr>
              <w:t>];</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47"/>
              <w:widowControl w:val="0"/>
              <w:numPr>
                <w:ilvl w:val="0"/>
                <w:numId w:val="16"/>
              </w:numPr>
              <w:spacing w:after="120"/>
              <w:ind w:hanging="720"/>
              <w:contextualSpacing w:val="0"/>
              <w:rPr>
                <w:rFonts w:ascii="Arial" w:hAnsi="Arial" w:cs="Arial"/>
                <w:sz w:val="21"/>
                <w:szCs w:val="21"/>
              </w:rPr>
            </w:pPr>
            <w:r>
              <w:rPr>
                <w:rFonts w:ascii="Arial" w:hAnsi="Arial" w:cs="Arial"/>
                <w:sz w:val="21"/>
                <w:szCs w:val="21"/>
              </w:rPr>
              <w:t>[</w:t>
            </w:r>
            <w:r>
              <w:rPr>
                <w:rFonts w:ascii="Arial" w:hAnsi="Arial" w:cs="Arial"/>
                <w:bCs/>
                <w:sz w:val="21"/>
                <w:szCs w:val="21"/>
              </w:rPr>
              <w:t>Para Pembeli (</w:t>
            </w:r>
            <w:r>
              <w:rPr>
                <w:rFonts w:ascii="Arial" w:hAnsi="Arial" w:cs="Arial"/>
                <w:bCs/>
                <w:i/>
                <w:iCs/>
                <w:sz w:val="21"/>
                <w:szCs w:val="21"/>
              </w:rPr>
              <w:t>Offtaker</w:t>
            </w:r>
            <w:r>
              <w:rPr>
                <w:rFonts w:ascii="Arial" w:hAnsi="Arial" w:cs="Arial"/>
                <w:bCs/>
                <w:sz w:val="21"/>
                <w:szCs w:val="21"/>
              </w:rPr>
              <w:t>)</w:t>
            </w:r>
            <w:r>
              <w:rPr>
                <w:rFonts w:ascii="Arial" w:hAnsi="Arial" w:cs="Arial"/>
                <w:sz w:val="21"/>
                <w:szCs w:val="21"/>
              </w:rPr>
              <w:t>];</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47"/>
              <w:widowControl w:val="0"/>
              <w:numPr>
                <w:ilvl w:val="0"/>
                <w:numId w:val="16"/>
              </w:numPr>
              <w:spacing w:after="120"/>
              <w:ind w:hanging="720"/>
              <w:contextualSpacing w:val="0"/>
              <w:rPr>
                <w:rFonts w:ascii="Arial" w:hAnsi="Arial" w:cs="Arial"/>
                <w:sz w:val="21"/>
                <w:szCs w:val="21"/>
              </w:rPr>
            </w:pPr>
            <w:r>
              <w:rPr>
                <w:rFonts w:ascii="Arial" w:hAnsi="Arial" w:cs="Arial"/>
                <w:sz w:val="21"/>
                <w:szCs w:val="21"/>
              </w:rPr>
              <w:t>[</w:t>
            </w:r>
            <w:r>
              <w:rPr>
                <w:rFonts w:ascii="Arial" w:hAnsi="Arial" w:cs="Arial"/>
                <w:i/>
                <w:iCs/>
                <w:sz w:val="21"/>
                <w:szCs w:val="21"/>
              </w:rPr>
              <w:t>para pihak lawan berkontrak lain dalam Dokumen-dokumen Proyek utama, dan para penanggung untuk para pihak ini (jika ada)</w:t>
            </w:r>
            <w:r>
              <w:rPr>
                <w:rStyle w:val="25"/>
                <w:rFonts w:ascii="Arial" w:hAnsi="Arial" w:cs="Arial"/>
                <w:sz w:val="21"/>
                <w:szCs w:val="21"/>
              </w:rPr>
              <w:footnoteReference w:id="5"/>
            </w:r>
            <w:r>
              <w:rPr>
                <w:rFonts w:ascii="Arial" w:hAnsi="Arial" w:cs="Arial"/>
                <w:sz w:val="21"/>
                <w:szCs w:val="21"/>
              </w:rPr>
              <w:t xml:space="preserve">]; </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47"/>
              <w:widowControl w:val="0"/>
              <w:numPr>
                <w:ilvl w:val="0"/>
                <w:numId w:val="16"/>
              </w:numPr>
              <w:spacing w:after="120"/>
              <w:ind w:hanging="720"/>
              <w:contextualSpacing w:val="0"/>
              <w:rPr>
                <w:rFonts w:ascii="Arial" w:hAnsi="Arial" w:cs="Arial"/>
                <w:sz w:val="21"/>
                <w:szCs w:val="21"/>
              </w:rPr>
            </w:pPr>
            <w:r>
              <w:rPr>
                <w:rFonts w:ascii="Arial" w:hAnsi="Arial" w:cs="Arial"/>
                <w:sz w:val="21"/>
                <w:szCs w:val="21"/>
              </w:rPr>
              <w:t>[Para Pemegang Saham,] Para Sponsor, Perusahaan Proyek; dan</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47"/>
              <w:widowControl w:val="0"/>
              <w:numPr>
                <w:ilvl w:val="0"/>
                <w:numId w:val="16"/>
              </w:numPr>
              <w:spacing w:after="120"/>
              <w:ind w:hanging="720"/>
              <w:contextualSpacing w:val="0"/>
              <w:rPr>
                <w:rFonts w:ascii="Arial" w:hAnsi="Arial" w:cs="Arial"/>
                <w:sz w:val="21"/>
                <w:szCs w:val="21"/>
              </w:rPr>
            </w:pPr>
            <w:r>
              <w:rPr>
                <w:rFonts w:ascii="Arial" w:hAnsi="Arial" w:cs="Arial"/>
                <w:sz w:val="21"/>
                <w:szCs w:val="21"/>
              </w:rPr>
              <w:t xml:space="preserve">pihak lain mana pun yang disepakati oleh Agen </w:t>
            </w:r>
            <w:r>
              <w:rPr>
                <w:rFonts w:ascii="Arial" w:hAnsi="Arial" w:cs="Arial"/>
                <w:sz w:val="21"/>
                <w:szCs w:val="21"/>
                <w:lang w:val="en-US"/>
              </w:rPr>
              <w:t>Antarkreditur</w:t>
            </w:r>
            <w:r>
              <w:rPr>
                <w:rFonts w:ascii="Arial" w:hAnsi="Arial" w:cs="Arial"/>
                <w:sz w:val="21"/>
                <w:szCs w:val="21"/>
              </w:rPr>
              <w:t xml:space="preserve"> dan Perusahaan Proyek harus menjadi Partisipan Proyek Utama.</w:t>
            </w:r>
            <w:r>
              <w:rPr>
                <w:rStyle w:val="25"/>
                <w:rFonts w:ascii="Arial" w:hAnsi="Arial" w:cs="Arial"/>
                <w:sz w:val="21"/>
                <w:szCs w:val="21"/>
              </w:rPr>
              <w:footnoteReference w:id="6"/>
            </w:r>
          </w:p>
        </w:tc>
      </w:tr>
      <w:tr>
        <w:tblPrEx>
          <w:tblCellMar>
            <w:top w:w="0" w:type="dxa"/>
            <w:left w:w="108" w:type="dxa"/>
            <w:bottom w:w="0" w:type="dxa"/>
            <w:right w:w="108" w:type="dxa"/>
          </w:tblCellMar>
        </w:tblPrEx>
        <w:tc>
          <w:tcPr>
            <w:tcW w:w="3531" w:type="dxa"/>
          </w:tcPr>
          <w:p>
            <w:pPr>
              <w:pStyle w:val="105"/>
              <w:spacing w:after="120"/>
              <w:rPr>
                <w:rFonts w:ascii="Arial" w:hAnsi="Arial" w:cs="Arial"/>
                <w:b w:val="0"/>
                <w:sz w:val="21"/>
                <w:szCs w:val="21"/>
              </w:rPr>
            </w:pPr>
            <w:bookmarkStart w:id="9" w:name="_Toc74860668"/>
            <w:bookmarkStart w:id="10" w:name="_Toc74557522"/>
            <w:r>
              <w:rPr>
                <w:rFonts w:ascii="Arial" w:hAnsi="Arial" w:cs="Arial"/>
                <w:sz w:val="21"/>
                <w:szCs w:val="21"/>
              </w:rPr>
              <w:t>PARA PIHAK PEMBIAYAAN</w:t>
            </w:r>
            <w:bookmarkEnd w:id="9"/>
            <w:bookmarkEnd w:id="10"/>
          </w:p>
        </w:tc>
        <w:tc>
          <w:tcPr>
            <w:tcW w:w="5136" w:type="dxa"/>
          </w:tcPr>
          <w:p>
            <w:pPr>
              <w:widowControl w:val="0"/>
              <w:spacing w:after="120"/>
              <w:rPr>
                <w:rFonts w:ascii="Arial" w:hAnsi="Arial" w:cs="Arial"/>
                <w:sz w:val="21"/>
                <w:szCs w:val="21"/>
              </w:rPr>
            </w:pP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[Para]</w:t>
            </w:r>
            <w:r>
              <w:rPr>
                <w:rFonts w:ascii="Arial" w:hAnsi="Arial" w:cs="Arial"/>
                <w:b/>
                <w:i/>
                <w:iCs/>
                <w:sz w:val="21"/>
                <w:szCs w:val="21"/>
              </w:rPr>
              <w:t xml:space="preserve"> Mandated Lead Arranger</w:t>
            </w:r>
            <w:r>
              <w:rPr>
                <w:rFonts w:ascii="Arial" w:hAnsi="Arial" w:cs="Arial"/>
                <w:b/>
                <w:sz w:val="21"/>
                <w:szCs w:val="21"/>
              </w:rPr>
              <w:t>:</w:t>
            </w:r>
          </w:p>
        </w:tc>
        <w:tc>
          <w:tcPr>
            <w:tcW w:w="5136" w:type="dxa"/>
          </w:tcPr>
          <w:p>
            <w:pPr>
              <w:widowControl w:val="0"/>
              <w:spacing w:after="120"/>
              <w:rPr>
                <w:rFonts w:ascii="Arial" w:hAnsi="Arial" w:cs="Arial"/>
                <w:sz w:val="21"/>
                <w:szCs w:val="21"/>
              </w:rPr>
            </w:pPr>
            <w:r>
              <w:rPr>
                <w:rFonts w:ascii="Arial" w:hAnsi="Arial" w:cs="Arial"/>
                <w:sz w:val="21"/>
                <w:szCs w:val="21"/>
              </w:rPr>
              <w:t>[                ] [dan [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Para Kreditur:</w:t>
            </w:r>
          </w:p>
        </w:tc>
        <w:tc>
          <w:tcPr>
            <w:tcW w:w="5136" w:type="dxa"/>
          </w:tcPr>
          <w:p>
            <w:pPr>
              <w:widowControl w:val="0"/>
              <w:spacing w:after="120"/>
              <w:rPr>
                <w:rFonts w:ascii="Arial" w:hAnsi="Arial" w:cs="Arial"/>
                <w:sz w:val="21"/>
                <w:szCs w:val="21"/>
              </w:rPr>
            </w:pPr>
            <w:r>
              <w:rPr>
                <w:rFonts w:ascii="Arial" w:hAnsi="Arial" w:cs="Arial"/>
                <w:sz w:val="21"/>
                <w:szCs w:val="21"/>
              </w:rPr>
              <w:t xml:space="preserve">Sebagaimana dipilih oleh [Para] </w:t>
            </w:r>
            <w:r>
              <w:rPr>
                <w:rFonts w:ascii="Arial" w:hAnsi="Arial" w:cs="Arial"/>
                <w:i/>
                <w:iCs/>
                <w:sz w:val="21"/>
                <w:szCs w:val="21"/>
              </w:rPr>
              <w:t>Mandated</w:t>
            </w:r>
            <w:r>
              <w:rPr>
                <w:rFonts w:ascii="Arial" w:hAnsi="Arial" w:cs="Arial"/>
                <w:sz w:val="21"/>
                <w:szCs w:val="21"/>
              </w:rPr>
              <w:t xml:space="preserve"> </w:t>
            </w:r>
            <w:r>
              <w:rPr>
                <w:rFonts w:ascii="Arial" w:hAnsi="Arial" w:cs="Arial"/>
                <w:i/>
                <w:iCs/>
                <w:sz w:val="21"/>
                <w:szCs w:val="21"/>
              </w:rPr>
              <w:t xml:space="preserve">Lead Arranger </w:t>
            </w:r>
            <w:r>
              <w:rPr>
                <w:rFonts w:ascii="Arial" w:hAnsi="Arial" w:cs="Arial"/>
                <w:sz w:val="21"/>
                <w:szCs w:val="21"/>
              </w:rPr>
              <w:t>[</w:t>
            </w:r>
            <w:r>
              <w:rPr>
                <w:rFonts w:ascii="Arial" w:hAnsi="Arial" w:cs="Arial"/>
                <w:sz w:val="21"/>
                <w:szCs w:val="21"/>
                <w:lang w:val="en-US"/>
              </w:rPr>
              <w:t xml:space="preserve">berdasarkan </w:t>
            </w:r>
            <w:r>
              <w:rPr>
                <w:rFonts w:ascii="Arial" w:hAnsi="Arial" w:cs="Arial"/>
                <w:sz w:val="21"/>
                <w:szCs w:val="21"/>
              </w:rPr>
              <w:t>konsultasi dengan Perusahaan Proyek.]</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[Bank[-bank] Lindung Nilai:]</w:t>
            </w:r>
          </w:p>
        </w:tc>
        <w:tc>
          <w:tcPr>
            <w:tcW w:w="5136" w:type="dxa"/>
          </w:tcPr>
          <w:p>
            <w:pPr>
              <w:widowControl w:val="0"/>
              <w:spacing w:after="120"/>
              <w:rPr>
                <w:rFonts w:ascii="Arial" w:hAnsi="Arial" w:cs="Arial"/>
                <w:sz w:val="21"/>
                <w:szCs w:val="21"/>
              </w:rPr>
            </w:pPr>
            <w:r>
              <w:rPr>
                <w:rFonts w:ascii="Arial" w:hAnsi="Arial" w:cs="Arial"/>
                <w:sz w:val="21"/>
                <w:szCs w:val="21"/>
              </w:rPr>
              <w:t>[                ] [dan [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[Lembaga[-lembaga] Pembiayaan Pembangunan:]</w:t>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[Lembaga[-lembaga] Kredit Ekspor:]</w:t>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 xml:space="preserve">[Agen </w:t>
            </w:r>
            <w:r>
              <w:rPr>
                <w:rFonts w:ascii="Arial" w:hAnsi="Arial" w:cs="Arial"/>
                <w:b/>
                <w:sz w:val="21"/>
                <w:szCs w:val="21"/>
                <w:lang w:val="en-US"/>
              </w:rPr>
              <w:t>Antarkreditur</w:t>
            </w:r>
            <w:r>
              <w:rPr>
                <w:rFonts w:ascii="Arial" w:hAnsi="Arial" w:cs="Arial"/>
                <w:b/>
                <w:sz w:val="21"/>
                <w:szCs w:val="21"/>
              </w:rPr>
              <w:t>:]</w:t>
            </w:r>
            <w:r>
              <w:rPr>
                <w:rStyle w:val="25"/>
                <w:rFonts w:ascii="Arial" w:hAnsi="Arial" w:cs="Arial"/>
                <w:b/>
                <w:sz w:val="21"/>
                <w:szCs w:val="21"/>
              </w:rPr>
              <w:footnoteReference w:id="7"/>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[Agen(-agen) Fasilitas [  ]:]</w:t>
            </w:r>
            <w:r>
              <w:rPr>
                <w:rStyle w:val="25"/>
                <w:rFonts w:ascii="Arial" w:hAnsi="Arial" w:cs="Arial"/>
                <w:b/>
                <w:sz w:val="21"/>
                <w:szCs w:val="21"/>
              </w:rPr>
              <w:footnoteReference w:id="8"/>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[[Agen] / [</w:t>
            </w:r>
            <w:r>
              <w:rPr>
                <w:rFonts w:ascii="Arial" w:hAnsi="Arial" w:cs="Arial"/>
                <w:b/>
                <w:i/>
                <w:iCs/>
                <w:sz w:val="21"/>
                <w:szCs w:val="21"/>
              </w:rPr>
              <w:t>Trustee</w:t>
            </w:r>
            <w:r>
              <w:rPr>
                <w:rFonts w:ascii="Arial" w:hAnsi="Arial" w:cs="Arial"/>
                <w:b/>
                <w:sz w:val="21"/>
                <w:szCs w:val="21"/>
              </w:rPr>
              <w:t>] Jaminan Luar Negeri</w:t>
            </w:r>
            <w:r>
              <w:rPr>
                <w:rFonts w:ascii="Arial" w:hAnsi="Arial" w:cs="Arial"/>
                <w:b/>
                <w:bCs/>
                <w:sz w:val="21"/>
                <w:szCs w:val="21"/>
              </w:rPr>
              <w:t>:</w:t>
            </w:r>
            <w:r>
              <w:rPr>
                <w:rFonts w:ascii="Arial" w:hAnsi="Arial" w:cs="Arial"/>
                <w:b/>
                <w:sz w:val="21"/>
                <w:szCs w:val="21"/>
              </w:rPr>
              <w:t>]</w:t>
            </w:r>
            <w:r>
              <w:rPr>
                <w:rStyle w:val="25"/>
                <w:rFonts w:ascii="Arial" w:hAnsi="Arial" w:cs="Arial"/>
                <w:b/>
                <w:bCs/>
                <w:sz w:val="21"/>
                <w:szCs w:val="21"/>
              </w:rPr>
              <w:footnoteReference w:id="9"/>
            </w:r>
            <w:r>
              <w:rPr>
                <w:rStyle w:val="25"/>
                <w:rFonts w:ascii="Arial" w:hAnsi="Arial" w:cs="Arial"/>
                <w:b/>
                <w:bCs/>
                <w:sz w:val="21"/>
                <w:szCs w:val="21"/>
              </w:rPr>
              <w:t xml:space="preserve"> </w:t>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[[Agen] / [</w:t>
            </w:r>
            <w:r>
              <w:rPr>
                <w:rFonts w:ascii="Arial" w:hAnsi="Arial" w:cs="Arial"/>
                <w:b/>
                <w:i/>
                <w:iCs/>
                <w:sz w:val="21"/>
                <w:szCs w:val="21"/>
              </w:rPr>
              <w:t>Trustee</w:t>
            </w:r>
            <w:r>
              <w:rPr>
                <w:rFonts w:ascii="Arial" w:hAnsi="Arial" w:cs="Arial"/>
                <w:b/>
                <w:bCs/>
                <w:sz w:val="21"/>
                <w:szCs w:val="21"/>
              </w:rPr>
              <w:t>] Jaminan Dalam Negeri:]</w:t>
            </w:r>
            <w:r>
              <w:rPr>
                <w:rStyle w:val="25"/>
                <w:rFonts w:ascii="Arial" w:hAnsi="Arial" w:cs="Arial"/>
                <w:b/>
                <w:bCs/>
                <w:sz w:val="21"/>
                <w:szCs w:val="21"/>
              </w:rPr>
              <w:footnoteReference w:id="10"/>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[Bank Rekening Luar Negeri</w:t>
            </w:r>
            <w:r>
              <w:rPr>
                <w:rFonts w:ascii="Arial" w:hAnsi="Arial" w:cs="Arial"/>
                <w:b/>
                <w:bCs/>
                <w:sz w:val="21"/>
                <w:szCs w:val="21"/>
              </w:rPr>
              <w:t>:</w:t>
            </w:r>
            <w:r>
              <w:rPr>
                <w:rFonts w:ascii="Arial" w:hAnsi="Arial" w:cs="Arial"/>
                <w:b/>
                <w:sz w:val="21"/>
                <w:szCs w:val="21"/>
              </w:rPr>
              <w:t>]</w:t>
            </w:r>
            <w:r>
              <w:rPr>
                <w:rStyle w:val="25"/>
                <w:rFonts w:ascii="Arial" w:hAnsi="Arial" w:cs="Arial"/>
                <w:b/>
                <w:bCs/>
                <w:sz w:val="21"/>
                <w:szCs w:val="21"/>
              </w:rPr>
              <w:footnoteReference w:id="11"/>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[Bank Rekening Dalam Negeri:]</w:t>
            </w:r>
            <w:bookmarkStart w:id="11" w:name="_Ref335904969"/>
            <w:r>
              <w:rPr>
                <w:rStyle w:val="25"/>
                <w:rFonts w:ascii="Arial" w:hAnsi="Arial" w:cs="Arial"/>
                <w:b/>
                <w:bCs/>
                <w:sz w:val="21"/>
                <w:szCs w:val="21"/>
              </w:rPr>
              <w:footnoteReference w:id="12"/>
            </w:r>
            <w:bookmarkEnd w:id="11"/>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[Bank Penerbit:]</w:t>
            </w:r>
            <w:r>
              <w:rPr>
                <w:rStyle w:val="25"/>
                <w:rFonts w:ascii="Arial" w:hAnsi="Arial" w:cs="Arial"/>
                <w:b/>
                <w:bCs/>
                <w:sz w:val="21"/>
                <w:szCs w:val="21"/>
              </w:rPr>
              <w:footnoteReference w:id="13"/>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numPr>
                <w:ilvl w:val="0"/>
                <w:numId w:val="0"/>
              </w:numPr>
              <w:tabs>
                <w:tab w:val="clear" w:pos="766"/>
              </w:tabs>
              <w:spacing w:after="120"/>
              <w:ind w:left="1440" w:hanging="720"/>
              <w:jc w:val="left"/>
              <w:rPr>
                <w:rFonts w:ascii="Arial" w:hAnsi="Arial" w:cs="Arial"/>
                <w:sz w:val="21"/>
                <w:szCs w:val="21"/>
              </w:rPr>
            </w:pPr>
            <w:r>
              <w:rPr>
                <w:rFonts w:ascii="Arial" w:hAnsi="Arial" w:cs="Arial"/>
                <w:sz w:val="21"/>
                <w:szCs w:val="21"/>
              </w:rPr>
              <w:t>[</w:t>
            </w:r>
            <w:r>
              <w:rPr>
                <w:rFonts w:ascii="Arial" w:hAnsi="Arial" w:cs="Arial"/>
                <w:b/>
                <w:sz w:val="21"/>
                <w:szCs w:val="21"/>
              </w:rPr>
              <w:t>BANK-BANK PERAN</w:t>
            </w:r>
            <w:r>
              <w:rPr>
                <w:rFonts w:ascii="Arial" w:hAnsi="Arial" w:cs="Arial"/>
                <w:sz w:val="21"/>
                <w:szCs w:val="21"/>
              </w:rPr>
              <w:t>]</w:t>
            </w:r>
            <w:r>
              <w:rPr>
                <w:rStyle w:val="25"/>
                <w:rFonts w:ascii="Arial" w:hAnsi="Arial" w:cs="Arial"/>
                <w:b/>
                <w:bCs/>
                <w:sz w:val="21"/>
                <w:szCs w:val="21"/>
              </w:rPr>
              <w:footnoteReference w:id="14"/>
            </w:r>
          </w:p>
        </w:tc>
        <w:tc>
          <w:tcPr>
            <w:tcW w:w="5136" w:type="dxa"/>
          </w:tcPr>
          <w:p>
            <w:pPr>
              <w:widowControl w:val="0"/>
              <w:spacing w:after="120"/>
              <w:rPr>
                <w:rFonts w:ascii="Arial" w:hAnsi="Arial" w:cs="Arial"/>
                <w:sz w:val="21"/>
                <w:szCs w:val="21"/>
              </w:rPr>
            </w:pP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[Bank Dokumentasi:]</w:t>
            </w:r>
            <w:r>
              <w:rPr>
                <w:rStyle w:val="25"/>
                <w:rFonts w:ascii="Arial" w:hAnsi="Arial" w:cs="Arial"/>
                <w:b/>
                <w:bCs/>
                <w:sz w:val="21"/>
                <w:szCs w:val="21"/>
              </w:rPr>
              <w:footnoteReference w:id="15"/>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[Bank Teknis:]</w:t>
            </w:r>
            <w:r>
              <w:rPr>
                <w:rStyle w:val="25"/>
                <w:rFonts w:ascii="Arial" w:hAnsi="Arial" w:cs="Arial"/>
                <w:b/>
                <w:bCs/>
                <w:sz w:val="21"/>
                <w:szCs w:val="21"/>
              </w:rPr>
              <w:footnoteReference w:id="16"/>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[Bank Lingkungan Hidup:]</w:t>
            </w:r>
            <w:r>
              <w:rPr>
                <w:rStyle w:val="25"/>
                <w:rFonts w:ascii="Arial" w:hAnsi="Arial" w:cs="Arial"/>
                <w:b/>
                <w:bCs/>
                <w:sz w:val="21"/>
                <w:szCs w:val="21"/>
              </w:rPr>
              <w:footnoteReference w:id="17"/>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[Bank Asuransi:]</w:t>
            </w:r>
            <w:r>
              <w:rPr>
                <w:rStyle w:val="25"/>
                <w:rFonts w:ascii="Arial" w:hAnsi="Arial" w:cs="Arial"/>
                <w:b/>
                <w:bCs/>
                <w:sz w:val="21"/>
                <w:szCs w:val="21"/>
              </w:rPr>
              <w:footnoteReference w:id="18"/>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[Bank Koordinasi Lindung Nilai:]</w:t>
            </w:r>
            <w:r>
              <w:rPr>
                <w:rStyle w:val="25"/>
                <w:rFonts w:ascii="Arial" w:hAnsi="Arial" w:cs="Arial"/>
                <w:b/>
                <w:bCs/>
                <w:sz w:val="21"/>
                <w:szCs w:val="21"/>
              </w:rPr>
              <w:footnoteReference w:id="19"/>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w:t>
            </w:r>
            <w:r>
              <w:rPr>
                <w:rFonts w:ascii="Arial" w:hAnsi="Arial" w:cs="Arial"/>
                <w:b/>
                <w:i/>
                <w:iCs/>
                <w:sz w:val="21"/>
                <w:szCs w:val="21"/>
              </w:rPr>
              <w:t>Modelling Bank</w:t>
            </w:r>
            <w:r>
              <w:rPr>
                <w:rFonts w:ascii="Arial" w:hAnsi="Arial" w:cs="Arial"/>
                <w:b/>
                <w:sz w:val="21"/>
                <w:szCs w:val="21"/>
              </w:rPr>
              <w:t>:]</w:t>
            </w:r>
            <w:r>
              <w:rPr>
                <w:rStyle w:val="25"/>
                <w:rFonts w:ascii="Arial" w:hAnsi="Arial" w:cs="Arial"/>
                <w:b/>
                <w:bCs/>
                <w:sz w:val="21"/>
                <w:szCs w:val="21"/>
              </w:rPr>
              <w:footnoteReference w:id="20"/>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5"/>
              <w:spacing w:after="120"/>
              <w:rPr>
                <w:rFonts w:ascii="Arial" w:hAnsi="Arial" w:cs="Arial"/>
                <w:b w:val="0"/>
                <w:sz w:val="21"/>
                <w:szCs w:val="21"/>
              </w:rPr>
            </w:pPr>
            <w:bookmarkStart w:id="12" w:name="_Hlk31118387"/>
            <w:bookmarkStart w:id="13" w:name="_Toc74557523"/>
            <w:bookmarkStart w:id="14" w:name="_Toc74860669"/>
            <w:bookmarkStart w:id="15" w:name="_Ref37070660"/>
            <w:r>
              <w:rPr>
                <w:rFonts w:ascii="Arial" w:hAnsi="Arial" w:cs="Arial"/>
                <w:sz w:val="21"/>
                <w:szCs w:val="21"/>
              </w:rPr>
              <w:t>PENASIHAT-PENASIHAT</w:t>
            </w:r>
            <w:r>
              <w:rPr>
                <w:rStyle w:val="25"/>
                <w:rFonts w:ascii="Arial" w:hAnsi="Arial" w:cs="Arial"/>
                <w:b w:val="0"/>
                <w:sz w:val="21"/>
                <w:szCs w:val="21"/>
              </w:rPr>
              <w:footnoteReference w:id="21"/>
            </w:r>
            <w:bookmarkEnd w:id="12"/>
            <w:bookmarkEnd w:id="13"/>
            <w:bookmarkEnd w:id="14"/>
            <w:bookmarkEnd w:id="15"/>
          </w:p>
        </w:tc>
        <w:tc>
          <w:tcPr>
            <w:tcW w:w="5136" w:type="dxa"/>
          </w:tcPr>
          <w:p>
            <w:pPr>
              <w:widowControl w:val="0"/>
              <w:spacing w:after="120"/>
              <w:rPr>
                <w:rFonts w:ascii="Arial" w:hAnsi="Arial" w:cs="Arial"/>
                <w:sz w:val="21"/>
                <w:szCs w:val="21"/>
              </w:rPr>
            </w:pP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i/>
                <w:iCs/>
                <w:sz w:val="21"/>
                <w:szCs w:val="21"/>
              </w:rPr>
              <w:t>Model Auditor</w:t>
            </w:r>
            <w:r>
              <w:rPr>
                <w:rFonts w:ascii="Arial" w:hAnsi="Arial" w:cs="Arial"/>
                <w:b/>
                <w:sz w:val="21"/>
                <w:szCs w:val="21"/>
              </w:rPr>
              <w:t>:</w:t>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Penasihat Teknis:</w:t>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[Penasihat Lingkungan Hidup dan Sosial:]</w:t>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[Penasihat Asuransi:]</w:t>
            </w:r>
          </w:p>
        </w:tc>
        <w:tc>
          <w:tcPr>
            <w:tcW w:w="5136" w:type="dxa"/>
          </w:tcPr>
          <w:p>
            <w:pPr>
              <w:widowControl w:val="0"/>
              <w:spacing w:after="120"/>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bookmarkStart w:id="16" w:name="_Ref37070651"/>
            <w:r>
              <w:rPr>
                <w:rFonts w:ascii="Arial" w:hAnsi="Arial" w:cs="Arial"/>
                <w:b/>
                <w:sz w:val="21"/>
                <w:szCs w:val="21"/>
              </w:rPr>
              <w:t>Penasihat(-penasihat) Hukum Para Kreditur:</w:t>
            </w:r>
            <w:bookmarkEnd w:id="16"/>
          </w:p>
        </w:tc>
        <w:tc>
          <w:tcPr>
            <w:tcW w:w="5136" w:type="dxa"/>
          </w:tcPr>
          <w:p>
            <w:pPr>
              <w:widowControl w:val="0"/>
              <w:spacing w:after="120"/>
              <w:rPr>
                <w:rFonts w:ascii="Arial" w:hAnsi="Arial" w:cs="Arial"/>
                <w:sz w:val="21"/>
                <w:szCs w:val="21"/>
              </w:rPr>
            </w:pPr>
            <w:r>
              <w:rPr>
                <w:rFonts w:ascii="Arial" w:hAnsi="Arial" w:cs="Arial"/>
                <w:sz w:val="21"/>
                <w:szCs w:val="21"/>
              </w:rPr>
              <w:t xml:space="preserve">[                ].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Penasihat(-penasihat) Hukum Perusahaan Proyek:</w:t>
            </w:r>
          </w:p>
        </w:tc>
        <w:tc>
          <w:tcPr>
            <w:tcW w:w="5136" w:type="dxa"/>
          </w:tcPr>
          <w:p>
            <w:pPr>
              <w:widowControl w:val="0"/>
              <w:spacing w:after="120"/>
              <w:rPr>
                <w:rFonts w:ascii="Arial" w:hAnsi="Arial" w:cs="Arial"/>
                <w:sz w:val="21"/>
                <w:szCs w:val="21"/>
              </w:rPr>
            </w:pPr>
            <w:r>
              <w:rPr>
                <w:rFonts w:ascii="Arial" w:hAnsi="Arial" w:cs="Arial"/>
                <w:sz w:val="21"/>
                <w:szCs w:val="21"/>
              </w:rPr>
              <w:t xml:space="preserve">[                ]. </w:t>
            </w:r>
          </w:p>
        </w:tc>
      </w:tr>
      <w:tr>
        <w:tblPrEx>
          <w:tblCellMar>
            <w:top w:w="0" w:type="dxa"/>
            <w:left w:w="108" w:type="dxa"/>
            <w:bottom w:w="0" w:type="dxa"/>
            <w:right w:w="108" w:type="dxa"/>
          </w:tblCellMar>
        </w:tblPrEx>
        <w:tc>
          <w:tcPr>
            <w:tcW w:w="3531" w:type="dxa"/>
          </w:tcPr>
          <w:p>
            <w:pPr>
              <w:pStyle w:val="103"/>
              <w:tabs>
                <w:tab w:val="clear" w:pos="766"/>
              </w:tabs>
              <w:spacing w:after="120"/>
              <w:ind w:left="1440" w:hanging="720"/>
              <w:jc w:val="left"/>
              <w:rPr>
                <w:rFonts w:ascii="Arial" w:hAnsi="Arial" w:cs="Arial"/>
                <w:b/>
                <w:sz w:val="21"/>
                <w:szCs w:val="21"/>
              </w:rPr>
            </w:pPr>
            <w:r>
              <w:rPr>
                <w:rFonts w:ascii="Arial" w:hAnsi="Arial" w:cs="Arial"/>
                <w:b/>
                <w:sz w:val="21"/>
                <w:szCs w:val="21"/>
              </w:rPr>
              <w:t>[</w:t>
            </w:r>
            <w:r>
              <w:rPr>
                <w:rFonts w:ascii="Arial" w:hAnsi="Arial" w:cs="Arial"/>
                <w:b/>
                <w:i/>
                <w:sz w:val="21"/>
                <w:szCs w:val="21"/>
              </w:rPr>
              <w:t>Penasihat(-penasihat) Lain</w:t>
            </w:r>
            <w:r>
              <w:rPr>
                <w:rFonts w:ascii="Arial" w:hAnsi="Arial" w:cs="Arial"/>
                <w:b/>
                <w:sz w:val="21"/>
                <w:szCs w:val="21"/>
              </w:rPr>
              <w:t>:]</w:t>
            </w:r>
            <w:r>
              <w:rPr>
                <w:rStyle w:val="25"/>
                <w:rFonts w:ascii="Arial" w:hAnsi="Arial" w:cs="Arial"/>
                <w:b/>
                <w:bCs/>
                <w:sz w:val="21"/>
                <w:szCs w:val="21"/>
              </w:rPr>
              <w:footnoteReference w:id="22"/>
            </w:r>
          </w:p>
        </w:tc>
        <w:tc>
          <w:tcPr>
            <w:tcW w:w="5136" w:type="dxa"/>
          </w:tcPr>
          <w:p>
            <w:pPr>
              <w:widowControl w:val="0"/>
              <w:spacing w:after="120"/>
              <w:rPr>
                <w:rFonts w:ascii="Arial" w:hAnsi="Arial" w:cs="Arial"/>
                <w:sz w:val="21"/>
                <w:szCs w:val="21"/>
              </w:rPr>
            </w:pPr>
            <w:r>
              <w:rPr>
                <w:rFonts w:ascii="Arial" w:hAnsi="Arial" w:cs="Arial"/>
                <w:sz w:val="21"/>
                <w:szCs w:val="21"/>
              </w:rPr>
              <w:t xml:space="preserve">[                ]. </w:t>
            </w:r>
          </w:p>
        </w:tc>
      </w:tr>
    </w:tbl>
    <w:p>
      <w:pPr>
        <w:pStyle w:val="107"/>
        <w:pageBreakBefore/>
        <w:spacing w:after="120"/>
        <w:rPr>
          <w:rFonts w:ascii="Arial" w:hAnsi="Arial" w:cs="Arial"/>
          <w:sz w:val="21"/>
          <w:szCs w:val="21"/>
        </w:rPr>
      </w:pPr>
      <w:bookmarkStart w:id="17" w:name="_Toc74860670"/>
      <w:bookmarkStart w:id="18" w:name="_Toc74557524"/>
      <w:r>
        <w:rPr>
          <w:rFonts w:ascii="Arial" w:hAnsi="Arial" w:cs="Arial"/>
          <w:sz w:val="21"/>
          <w:szCs w:val="21"/>
        </w:rPr>
        <w:t>BIAYA PROYEK YANG DIANGGARKAN dan rencana pembiayaan</w:t>
      </w:r>
      <w:bookmarkEnd w:id="17"/>
      <w:bookmarkEnd w:id="18"/>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0"/>
        <w:gridCol w:w="5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eastAsia="SimSun" w:cs="Simplified Arabic"/>
                <w:lang w:bidi="ar-AE"/>
              </w:rPr>
            </w:pPr>
            <w:r>
              <w:rPr>
                <w:rFonts w:ascii="Arial" w:hAnsi="Arial" w:eastAsia="SimSun" w:cs="Arial"/>
                <w:b/>
                <w:sz w:val="21"/>
                <w:szCs w:val="21"/>
                <w:lang w:bidi="ar-AE"/>
              </w:rPr>
              <w:t>Biaya proyek yang dianggarkan:</w:t>
            </w:r>
          </w:p>
        </w:tc>
        <w:tc>
          <w:tcPr>
            <w:tcW w:w="5157" w:type="dxa"/>
          </w:tcPr>
          <w:p>
            <w:pPr>
              <w:pStyle w:val="3"/>
              <w:widowControl w:val="0"/>
              <w:spacing w:after="120"/>
              <w:ind w:left="0"/>
              <w:rPr>
                <w:rFonts w:ascii="Arial" w:hAnsi="Arial" w:eastAsia="SimSun" w:cs="Arial"/>
                <w:sz w:val="21"/>
                <w:szCs w:val="21"/>
                <w:lang w:bidi="ar-AE"/>
              </w:rPr>
            </w:pPr>
            <w:r>
              <w:rPr>
                <w:rFonts w:ascii="Arial" w:hAnsi="Arial" w:eastAsia="SimSun" w:cs="Arial"/>
                <w:sz w:val="21"/>
                <w:szCs w:val="21"/>
                <w:lang w:bidi="ar-AE"/>
              </w:rPr>
              <w:t>Total biaya Proyek yang dianggarkan: [•].</w:t>
            </w:r>
          </w:p>
          <w:p>
            <w:pPr>
              <w:pStyle w:val="63"/>
              <w:ind w:left="0"/>
              <w:rPr>
                <w:rFonts w:cs="Simplified Arabic"/>
                <w:lang w:eastAsia="en-US" w:bidi="ar-SA"/>
              </w:rPr>
            </w:pPr>
            <w:r>
              <w:rPr>
                <w:rFonts w:ascii="Arial" w:hAnsi="Arial" w:cs="Arial"/>
                <w:sz w:val="21"/>
                <w:szCs w:val="21"/>
              </w:rPr>
              <w:t xml:space="preserve">Rincian: Lihat </w:t>
            </w:r>
            <w:r>
              <w:rPr>
                <w:rFonts w:ascii="Arial" w:hAnsi="Arial" w:cs="Arial"/>
                <w:sz w:val="21"/>
                <w:szCs w:val="21"/>
              </w:rPr>
              <w:fldChar w:fldCharType="begin"/>
            </w:r>
            <w:r>
              <w:rPr>
                <w:rFonts w:ascii="Arial" w:hAnsi="Arial" w:cs="Arial"/>
                <w:sz w:val="21"/>
                <w:szCs w:val="21"/>
              </w:rPr>
              <w:instrText xml:space="preserve"> REF _Ref35635544 \n \h  \* MERGEFORMAT </w:instrText>
            </w:r>
            <w:r>
              <w:rPr>
                <w:rFonts w:ascii="Arial" w:hAnsi="Arial" w:cs="Arial"/>
                <w:sz w:val="21"/>
                <w:szCs w:val="21"/>
              </w:rPr>
              <w:fldChar w:fldCharType="separate"/>
            </w:r>
            <w:r>
              <w:rPr>
                <w:rFonts w:ascii="Arial" w:hAnsi="Arial" w:cs="Arial"/>
                <w:sz w:val="21"/>
                <w:szCs w:val="21"/>
              </w:rPr>
              <w:t>Lampiran 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Rincian Biaya-biaya Proyek</w:t>
            </w:r>
            <w:r>
              <w:rPr>
                <w:rFonts w:ascii="Arial" w:hAnsi="Arial" w:cs="Arial"/>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eastAsia="SimSun" w:cs="Simplified Arabic"/>
                <w:lang w:bidi="ar-AE"/>
              </w:rPr>
            </w:pPr>
            <w:r>
              <w:rPr>
                <w:rFonts w:ascii="Arial" w:hAnsi="Arial" w:eastAsia="SimSun" w:cs="Arial"/>
                <w:b/>
                <w:sz w:val="21"/>
                <w:szCs w:val="21"/>
                <w:lang w:bidi="ar-AE"/>
              </w:rPr>
              <w:t>Fasilitas-fasilitas</w:t>
            </w:r>
            <w:r>
              <w:rPr>
                <w:rStyle w:val="25"/>
                <w:rFonts w:ascii="Arial" w:hAnsi="Arial" w:eastAsia="SimSun" w:cs="Arial"/>
                <w:b/>
                <w:bCs/>
                <w:sz w:val="21"/>
                <w:szCs w:val="21"/>
                <w:lang w:bidi="ar-AE"/>
              </w:rPr>
              <w:footnoteReference w:id="23"/>
            </w:r>
            <w:r>
              <w:rPr>
                <w:rFonts w:ascii="Arial" w:hAnsi="Arial" w:eastAsia="SimSun" w:cs="Arial"/>
                <w:b/>
                <w:sz w:val="21"/>
                <w:szCs w:val="21"/>
                <w:lang w:bidi="ar-AE"/>
              </w:rPr>
              <w:t>:</w:t>
            </w: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 xml:space="preserve">Fasilitas Pinjaman Berjangka 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[Fasilitas Modal Kerja]</w:t>
            </w:r>
            <w:r>
              <w:rPr>
                <w:rStyle w:val="25"/>
                <w:rFonts w:ascii="Arial" w:hAnsi="Arial" w:eastAsia="SimSun" w:cs="Arial"/>
                <w:sz w:val="21"/>
                <w:szCs w:val="21"/>
                <w:lang w:bidi="ar-AE"/>
              </w:rPr>
              <w:footnoteReference w:id="24"/>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 xml:space="preserve">[Fasilitas </w:t>
            </w:r>
            <w:r>
              <w:rPr>
                <w:rFonts w:ascii="Arial" w:hAnsi="Arial" w:eastAsia="SimSun" w:cs="Arial"/>
                <w:i/>
                <w:iCs/>
                <w:sz w:val="21"/>
                <w:szCs w:val="21"/>
                <w:lang w:bidi="ar-AE"/>
              </w:rPr>
              <w:t>Standby</w:t>
            </w:r>
            <w:r>
              <w:rPr>
                <w:rFonts w:ascii="Arial" w:hAnsi="Arial" w:eastAsia="SimSun" w:cs="Arial"/>
                <w:sz w:val="21"/>
                <w:szCs w:val="21"/>
                <w:lang w:bidi="ar-AE"/>
              </w:rPr>
              <w:t>]</w:t>
            </w:r>
            <w:r>
              <w:rPr>
                <w:rStyle w:val="25"/>
                <w:rFonts w:ascii="Arial" w:hAnsi="Arial" w:eastAsia="SimSun" w:cs="Arial"/>
                <w:sz w:val="21"/>
                <w:szCs w:val="21"/>
                <w:lang w:bidi="ar-AE"/>
              </w:rPr>
              <w:footnoteReference w:id="25"/>
            </w:r>
            <w:r>
              <w:rPr>
                <w:rFonts w:ascii="Arial" w:hAnsi="Arial" w:eastAsia="SimSun" w:cs="Arial"/>
                <w:sz w:val="21"/>
                <w:szCs w:val="21"/>
                <w:lang w:bidi="ar-A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[Fasilitas Talangan Ekuitas (</w:t>
            </w:r>
            <w:r>
              <w:rPr>
                <w:rFonts w:ascii="Arial" w:hAnsi="Arial" w:eastAsia="SimSun" w:cs="Arial"/>
                <w:i/>
                <w:iCs/>
                <w:sz w:val="21"/>
                <w:szCs w:val="21"/>
                <w:lang w:bidi="ar-AE"/>
              </w:rPr>
              <w:t>Equity Bridge Facility</w:t>
            </w:r>
            <w:r>
              <w:rPr>
                <w:rFonts w:ascii="Arial" w:hAnsi="Arial" w:eastAsia="SimSun" w:cs="Arial"/>
                <w:sz w:val="21"/>
                <w:szCs w:val="21"/>
                <w:lang w:bidi="ar-AE"/>
              </w:rPr>
              <w:t>)]</w:t>
            </w:r>
            <w:r>
              <w:rPr>
                <w:rStyle w:val="25"/>
                <w:rFonts w:ascii="Arial" w:hAnsi="Arial" w:eastAsia="SimSun" w:cs="Arial"/>
                <w:sz w:val="21"/>
                <w:szCs w:val="21"/>
                <w:lang w:bidi="ar-AE"/>
              </w:rPr>
              <w:footnoteReference w:id="26"/>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[Fasilitas ECA]</w:t>
            </w:r>
            <w:r>
              <w:rPr>
                <w:rStyle w:val="25"/>
                <w:rFonts w:ascii="Arial" w:hAnsi="Arial" w:eastAsia="SimSun" w:cs="Arial"/>
                <w:sz w:val="21"/>
                <w:szCs w:val="21"/>
                <w:lang w:bidi="ar-AE"/>
              </w:rPr>
              <w:footnoteReference w:id="27"/>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[Fasilitas DFI]</w:t>
            </w:r>
            <w:r>
              <w:rPr>
                <w:rStyle w:val="25"/>
                <w:rFonts w:ascii="Arial" w:hAnsi="Arial" w:eastAsia="SimSun" w:cs="Arial"/>
                <w:sz w:val="21"/>
                <w:szCs w:val="21"/>
                <w:lang w:bidi="ar-AE"/>
              </w:rPr>
              <w:footnoteReference w:id="28"/>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[Fasilitas PPN/</w:t>
            </w:r>
            <w:r>
              <w:rPr>
                <w:rFonts w:ascii="Arial" w:hAnsi="Arial" w:eastAsia="SimSun" w:cs="Arial"/>
                <w:sz w:val="16"/>
                <w:szCs w:val="16"/>
                <w:lang w:bidi="ar-AE"/>
              </w:rPr>
              <w:t xml:space="preserve"> </w:t>
            </w:r>
            <w:r>
              <w:rPr>
                <w:rFonts w:ascii="Arial" w:hAnsi="Arial" w:eastAsia="SimSun" w:cs="Arial"/>
                <w:sz w:val="21"/>
                <w:szCs w:val="21"/>
                <w:lang w:bidi="ar-AE"/>
              </w:rPr>
              <w:t>Pajak Barang dan Jasa (</w:t>
            </w:r>
            <w:r>
              <w:rPr>
                <w:rFonts w:ascii="Arial" w:hAnsi="Arial" w:eastAsia="SimSun" w:cs="Arial"/>
                <w:i/>
                <w:iCs/>
                <w:sz w:val="21"/>
                <w:szCs w:val="21"/>
                <w:lang w:bidi="ar-AE"/>
              </w:rPr>
              <w:t>GST</w:t>
            </w:r>
            <w:r>
              <w:rPr>
                <w:rFonts w:ascii="Arial" w:hAnsi="Arial" w:eastAsia="SimSun" w:cs="Arial"/>
                <w:sz w:val="21"/>
                <w:szCs w:val="21"/>
                <w:lang w:bidi="ar-AE"/>
              </w:rPr>
              <w:t>)]</w:t>
            </w:r>
            <w:r>
              <w:rPr>
                <w:rStyle w:val="25"/>
                <w:rFonts w:ascii="Arial" w:hAnsi="Arial" w:eastAsia="SimSun" w:cs="Arial"/>
                <w:sz w:val="21"/>
                <w:szCs w:val="21"/>
                <w:lang w:bidi="ar-AE"/>
              </w:rPr>
              <w:footnoteReference w:id="29"/>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w:t>
            </w:r>
            <w:r>
              <w:rPr>
                <w:rFonts w:ascii="Arial" w:hAnsi="Arial" w:eastAsia="SimSun" w:cs="Arial"/>
                <w:i/>
                <w:iCs/>
                <w:sz w:val="21"/>
                <w:szCs w:val="21"/>
                <w:lang w:bidi="ar-AE"/>
              </w:rPr>
              <w:t>Lainnya</w:t>
            </w:r>
            <w:r>
              <w:rPr>
                <w:rFonts w:ascii="Arial" w:hAnsi="Arial" w:eastAsia="SimSun" w:cs="Arial"/>
                <w:sz w:val="21"/>
                <w:szCs w:val="21"/>
                <w:lang w:bidi="ar-AE"/>
              </w:rPr>
              <w:t>]</w:t>
            </w:r>
            <w:r>
              <w:rPr>
                <w:rStyle w:val="25"/>
                <w:rFonts w:ascii="Arial" w:hAnsi="Arial" w:eastAsia="SimSun" w:cs="Arial"/>
                <w:sz w:val="21"/>
                <w:szCs w:val="21"/>
                <w:lang w:bidi="ar-AE"/>
              </w:rPr>
              <w:footnoteReference w:id="30"/>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eastAsia="SimSun" w:cs="Simplified Arabic"/>
                <w:lang w:bidi="ar-AE"/>
              </w:rPr>
            </w:pPr>
            <w:r>
              <w:rPr>
                <w:rFonts w:ascii="Arial" w:hAnsi="Arial" w:eastAsia="SimSun" w:cs="Arial"/>
                <w:b/>
                <w:sz w:val="21"/>
                <w:szCs w:val="21"/>
                <w:lang w:bidi="ar-AE"/>
              </w:rPr>
              <w:t>[Kontribusi Ekuitas</w:t>
            </w:r>
            <w:r>
              <w:rPr>
                <w:rStyle w:val="25"/>
                <w:rFonts w:ascii="Arial" w:hAnsi="Arial" w:eastAsia="SimSun" w:cs="Arial"/>
                <w:sz w:val="21"/>
                <w:szCs w:val="21"/>
                <w:lang w:bidi="ar-AE"/>
              </w:rPr>
              <w:footnoteReference w:id="31"/>
            </w:r>
            <w:r>
              <w:rPr>
                <w:rFonts w:ascii="Arial" w:hAnsi="Arial" w:eastAsia="SimSun" w:cs="Arial"/>
                <w:b/>
                <w:sz w:val="21"/>
                <w:szCs w:val="21"/>
                <w:lang w:bidi="ar-AE"/>
              </w:rPr>
              <w:t>:</w:t>
            </w: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[Para Sponsor/Para Pemegang Saham] akan mengambil bagian pada ekuitas di Perusahaan Proyek [dan/atau akan menyediakan pinjaman-pinjaman subordinasi bagi Perusahaan Proyek] dalam jumlah keseluruhan sebesar [•] untuk mendanai Biaya-biaya Proyek ("</w:t>
            </w:r>
            <w:r>
              <w:rPr>
                <w:rFonts w:ascii="Arial" w:hAnsi="Arial" w:eastAsia="SimSun" w:cs="Arial"/>
                <w:b/>
                <w:bCs/>
                <w:sz w:val="21"/>
                <w:szCs w:val="21"/>
                <w:lang w:bidi="ar-AE"/>
              </w:rPr>
              <w:t>Ekuitas Dasar</w:t>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 xml:space="preserve">[Pendapatan yang dihasilkan dari Proyek sebelum Tanggal Penyelesaian Proyek akan dianggap dimasukkan sebagai Ekuitas Dasar dan digunakan atau akan digunakan untuk mendanai biaya-biaya Proyek.]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Ekuitas Dasar akan dikontribusikan [dalam jumlah yang sekurang-kurangnya setara dengan [•] sebelum Pemenuhan Pembiayaan ("</w:t>
            </w:r>
            <w:r>
              <w:rPr>
                <w:rFonts w:ascii="Arial" w:hAnsi="Arial" w:eastAsia="SimSun" w:cs="Arial"/>
                <w:b/>
                <w:bCs/>
                <w:sz w:val="21"/>
                <w:szCs w:val="21"/>
                <w:lang w:bidi="ar-AE"/>
              </w:rPr>
              <w:t>Ekuitas Dimuka</w:t>
            </w:r>
            <w:r>
              <w:rPr>
                <w:rFonts w:ascii="Arial" w:hAnsi="Arial" w:eastAsia="SimSun" w:cs="Arial"/>
                <w:sz w:val="21"/>
                <w:szCs w:val="21"/>
                <w:lang w:bidi="ar-AE"/>
              </w:rPr>
              <w:t>"), dan setelahnya] [secara pro rata dengan Penggunaan-penggunaan berdasarkan Fasilitas Pinjaman Berjangka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 xml:space="preserve">[Jumlah penuh dari komitmen Ekuitas Dasar yang tersisa akan dikontribusikan oleh [Para Sponsor/Para Pemegang Saham] sesegera mungkin setelah disampaikannya permintaan oleh Agen </w:t>
            </w:r>
            <w:r>
              <w:rPr>
                <w:rFonts w:ascii="Arial" w:hAnsi="Arial" w:eastAsia="SimSun" w:cs="Arial"/>
                <w:sz w:val="21"/>
                <w:szCs w:val="21"/>
                <w:lang w:val="en-US" w:bidi="ar-AE"/>
              </w:rPr>
              <w:t>Antarkreditur</w:t>
            </w:r>
            <w:r>
              <w:rPr>
                <w:rFonts w:ascii="Arial" w:hAnsi="Arial" w:eastAsia="SimSun" w:cs="Arial"/>
                <w:sz w:val="21"/>
                <w:szCs w:val="21"/>
                <w:lang w:bidi="ar-AE"/>
              </w:rPr>
              <w:t xml:space="preserve"> setelah terjadinya Peristiwa Cedera Janji yang berlanjut.]</w:t>
            </w:r>
            <w:r>
              <w:rPr>
                <w:rStyle w:val="25"/>
                <w:rFonts w:ascii="Arial" w:hAnsi="Arial" w:eastAsia="SimSun" w:cs="Arial"/>
                <w:sz w:val="21"/>
                <w:szCs w:val="21"/>
                <w:lang w:bidi="ar-AE"/>
              </w:rPr>
              <w:footnoteReference w:id="32"/>
            </w:r>
          </w:p>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[Para Pemegang Saham akan mengambil bagian pada ekuitas tambahan di Perusahaan Proyek dan/atau akan menyediakan pinjaman-pinjaman subordinasi tambahan kepada Perusahaan Proyek dalam jumlah keseluruhan sebesar [•] secara sebagai cadangan (</w:t>
            </w:r>
            <w:r>
              <w:rPr>
                <w:rFonts w:ascii="Arial" w:hAnsi="Arial" w:eastAsia="SimSun" w:cs="Arial"/>
                <w:i/>
                <w:iCs/>
                <w:sz w:val="21"/>
                <w:szCs w:val="21"/>
                <w:lang w:bidi="ar-AE"/>
              </w:rPr>
              <w:t>standby basis</w:t>
            </w:r>
            <w:r>
              <w:rPr>
                <w:rFonts w:ascii="Arial" w:hAnsi="Arial" w:eastAsia="SimSun" w:cs="Arial"/>
                <w:sz w:val="21"/>
                <w:szCs w:val="21"/>
                <w:lang w:bidi="ar-AE"/>
              </w:rPr>
              <w:t>) untuk mendanai pembengkakan Biaya Proyek ("</w:t>
            </w:r>
            <w:r>
              <w:rPr>
                <w:rFonts w:ascii="Arial" w:hAnsi="Arial" w:eastAsia="SimSun" w:cs="Arial"/>
                <w:b/>
                <w:bCs/>
                <w:sz w:val="21"/>
                <w:szCs w:val="21"/>
                <w:lang w:bidi="ar-AE"/>
              </w:rPr>
              <w:t xml:space="preserve">Ekuitas </w:t>
            </w:r>
            <w:r>
              <w:rPr>
                <w:rFonts w:ascii="Arial" w:hAnsi="Arial" w:eastAsia="SimSun" w:cs="Arial"/>
                <w:b/>
                <w:bCs/>
                <w:i/>
                <w:iCs/>
                <w:sz w:val="21"/>
                <w:szCs w:val="21"/>
                <w:lang w:bidi="ar-AE"/>
              </w:rPr>
              <w:t>Standby</w:t>
            </w:r>
            <w:r>
              <w:rPr>
                <w:rFonts w:ascii="Arial" w:hAnsi="Arial" w:eastAsia="SimSun" w:cs="Arial"/>
                <w:sz w:val="21"/>
                <w:szCs w:val="21"/>
                <w:lang w:bidi="ar-AE"/>
              </w:rPr>
              <w:t>").]</w:t>
            </w:r>
            <w:r>
              <w:rPr>
                <w:rStyle w:val="25"/>
                <w:rFonts w:ascii="Arial" w:hAnsi="Arial" w:eastAsia="SimSun" w:cs="Arial"/>
                <w:sz w:val="21"/>
                <w:szCs w:val="21"/>
                <w:lang w:bidi="ar-AE"/>
              </w:rPr>
              <w:footnoteReference w:id="33"/>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99"/>
              <w:keepLines/>
              <w:numPr>
                <w:ilvl w:val="0"/>
                <w:numId w:val="0"/>
              </w:numPr>
              <w:spacing w:after="120"/>
              <w:rPr>
                <w:rFonts w:ascii="Arial" w:hAnsi="Arial" w:eastAsia="SimSun" w:cs="Arial"/>
                <w:sz w:val="21"/>
                <w:szCs w:val="21"/>
                <w:lang w:bidi="ar-AE"/>
              </w:rPr>
            </w:pPr>
          </w:p>
        </w:tc>
        <w:tc>
          <w:tcPr>
            <w:tcW w:w="5157" w:type="dxa"/>
          </w:tcPr>
          <w:p>
            <w:pPr>
              <w:pStyle w:val="99"/>
              <w:keepLines/>
              <w:tabs>
                <w:tab w:val="clear" w:pos="720"/>
              </w:tabs>
              <w:spacing w:after="120"/>
              <w:rPr>
                <w:rFonts w:ascii="Arial" w:hAnsi="Arial" w:eastAsia="SimSun" w:cs="Arial"/>
                <w:sz w:val="21"/>
                <w:szCs w:val="21"/>
                <w:lang w:bidi="ar-AE"/>
              </w:rPr>
            </w:pPr>
            <w:r>
              <w:rPr>
                <w:rFonts w:ascii="Arial" w:hAnsi="Arial" w:eastAsia="SimSun" w:cs="Arial"/>
                <w:sz w:val="21"/>
                <w:szCs w:val="21"/>
                <w:lang w:bidi="ar-AE"/>
              </w:rPr>
              <w:t xml:space="preserve">[Kewajiban-kewajiban Para Pemegang Saham untuk berkontribusi dalam Ekuitas Dasar [dan Ekuitas </w:t>
            </w:r>
            <w:r>
              <w:rPr>
                <w:rFonts w:ascii="Arial" w:hAnsi="Arial" w:eastAsia="SimSun" w:cs="Arial"/>
                <w:i/>
                <w:sz w:val="21"/>
                <w:szCs w:val="21"/>
                <w:lang w:bidi="ar-AE"/>
              </w:rPr>
              <w:t>Standby</w:t>
            </w:r>
            <w:r>
              <w:rPr>
                <w:rFonts w:ascii="Arial" w:hAnsi="Arial" w:eastAsia="SimSun" w:cs="Arial"/>
                <w:sz w:val="21"/>
                <w:szCs w:val="21"/>
                <w:lang w:bidi="ar-AE"/>
              </w:rPr>
              <w:t>] akan didukung oleh [</w:t>
            </w:r>
            <w:r>
              <w:rPr>
                <w:rFonts w:ascii="Arial" w:hAnsi="Arial" w:eastAsia="SimSun" w:cs="Arial"/>
                <w:i/>
                <w:iCs/>
                <w:sz w:val="21"/>
                <w:szCs w:val="21"/>
                <w:lang w:bidi="ar-AE"/>
              </w:rPr>
              <w:t>letter of credit</w:t>
            </w:r>
            <w:r>
              <w:rPr>
                <w:rFonts w:ascii="Arial" w:hAnsi="Arial" w:eastAsia="SimSun" w:cs="Arial"/>
                <w:sz w:val="21"/>
                <w:szCs w:val="21"/>
                <w:lang w:bidi="ar-AE"/>
              </w:rPr>
              <w:t xml:space="preserve"> sesuai permintaan dalam bentuk dan substansi sebagaimana dapat diterima oleh Para Kreditur dari bank atau bank-bank yang memiliki peringkat kredit jangka panjang sekurang-kurangnya [•] dari waktu ke waktu] [dan/atau] [suatu penanggungan perusahaan induk dalam bentuk dan substansi sebagaimana dapat diterima oleh Para Kreditur [kecuali [peringkat </w:t>
            </w:r>
            <w:r>
              <w:rPr>
                <w:rFonts w:ascii="Arial" w:hAnsi="Arial" w:eastAsia="SimSun" w:cs="Arial"/>
                <w:i/>
                <w:iCs/>
                <w:sz w:val="21"/>
                <w:szCs w:val="21"/>
                <w:lang w:bidi="ar-AE"/>
              </w:rPr>
              <w:t>perusahaan induk</w:t>
            </w:r>
            <w:r>
              <w:rPr>
                <w:rFonts w:ascii="Arial" w:hAnsi="Arial" w:eastAsia="SimSun" w:cs="Arial"/>
                <w:sz w:val="21"/>
                <w:szCs w:val="21"/>
                <w:lang w:bidi="ar-AE"/>
              </w:rPr>
              <w:t>] berada di bawah [•]</w:t>
            </w:r>
            <w:r>
              <w:rPr>
                <w:rStyle w:val="25"/>
                <w:rFonts w:ascii="Arial" w:hAnsi="Arial" w:eastAsia="SimSun" w:cs="Arial"/>
                <w:sz w:val="21"/>
                <w:szCs w:val="21"/>
                <w:lang w:bidi="ar-AE"/>
              </w:rPr>
              <w:footnoteReference w:id="34"/>
            </w:r>
            <w:r>
              <w:rPr>
                <w:rFonts w:ascii="Arial" w:hAnsi="Arial" w:eastAsia="SimSun" w:cs="Arial"/>
                <w:sz w:val="21"/>
                <w:szCs w:val="21"/>
                <w:lang w:bidi="ar-AE"/>
              </w:rPr>
              <w:t xml:space="preserve"> atau setara]/[</w:t>
            </w:r>
            <w:r>
              <w:rPr>
                <w:rFonts w:ascii="Arial" w:hAnsi="Arial" w:eastAsia="SimSun" w:cs="Arial"/>
                <w:i/>
                <w:iCs/>
                <w:sz w:val="21"/>
                <w:szCs w:val="21"/>
                <w:lang w:bidi="ar-AE"/>
              </w:rPr>
              <w:t>metrik-metrik keuangan lain yang dapat diterima</w:t>
            </w:r>
            <w:r>
              <w:rPr>
                <w:rFonts w:ascii="Arial" w:hAnsi="Arial" w:eastAsia="SimSun" w:cs="Arial"/>
                <w:sz w:val="21"/>
                <w:szCs w:val="21"/>
                <w:lang w:bidi="ar-AE"/>
              </w:rPr>
              <w:t xml:space="preserve">], dalam hal ini kewajiban-kewajiban tersebut akan didukung oleh </w:t>
            </w:r>
            <w:r>
              <w:rPr>
                <w:rFonts w:ascii="Arial" w:hAnsi="Arial" w:eastAsia="SimSun" w:cs="Arial"/>
                <w:i/>
                <w:iCs/>
                <w:sz w:val="21"/>
                <w:szCs w:val="21"/>
                <w:lang w:bidi="ar-AE"/>
              </w:rPr>
              <w:t>letter of credit</w:t>
            </w:r>
            <w:r>
              <w:rPr>
                <w:rFonts w:ascii="Arial" w:hAnsi="Arial" w:eastAsia="SimSun" w:cs="Arial"/>
                <w:sz w:val="21"/>
                <w:szCs w:val="21"/>
                <w:lang w:bidi="ar-AE"/>
              </w:rPr>
              <w:t xml:space="preserve"> [</w:t>
            </w:r>
            <w:r>
              <w:rPr>
                <w:rFonts w:ascii="Arial" w:hAnsi="Arial" w:eastAsia="SimSun" w:cs="Arial"/>
                <w:i/>
                <w:iCs/>
                <w:sz w:val="21"/>
                <w:szCs w:val="21"/>
                <w:lang w:bidi="ar-AE"/>
              </w:rPr>
              <w:t>sebagaimana disebutkan di atas</w:t>
            </w:r>
            <w:r>
              <w:rPr>
                <w:rFonts w:ascii="Arial" w:hAnsi="Arial" w:eastAsia="SimSun" w:cs="Arial"/>
                <w:sz w:val="21"/>
                <w:szCs w:val="21"/>
                <w:lang w:bidi="ar-AE"/>
              </w:rPr>
              <w:t>]].  [</w:t>
            </w:r>
            <w:r>
              <w:rPr>
                <w:rFonts w:ascii="Arial" w:hAnsi="Arial" w:eastAsia="SimSun" w:cs="Arial"/>
                <w:i/>
                <w:iCs/>
                <w:sz w:val="21"/>
                <w:szCs w:val="21"/>
                <w:lang w:bidi="ar-AE"/>
              </w:rPr>
              <w:t xml:space="preserve">Letter of credit </w:t>
            </w:r>
            <w:r>
              <w:rPr>
                <w:rFonts w:ascii="Arial" w:hAnsi="Arial" w:eastAsia="SimSun" w:cs="Arial"/>
                <w:sz w:val="21"/>
                <w:szCs w:val="21"/>
                <w:lang w:bidi="ar-AE"/>
              </w:rPr>
              <w:t xml:space="preserve">sesuai permintaan dan/atau penanggungan perusahaan induk] (dan kewajiban-kewajiban berdasarkan hal tersebut) sehubungan dengan Ekuitas Dasar [dan Ekuitas </w:t>
            </w:r>
            <w:r>
              <w:rPr>
                <w:rFonts w:ascii="Arial" w:hAnsi="Arial" w:eastAsia="SimSun" w:cs="Arial"/>
                <w:i/>
                <w:sz w:val="21"/>
                <w:szCs w:val="21"/>
                <w:lang w:bidi="ar-AE"/>
              </w:rPr>
              <w:t>Standby</w:t>
            </w:r>
            <w:r>
              <w:rPr>
                <w:rFonts w:ascii="Arial" w:hAnsi="Arial" w:eastAsia="SimSun" w:cs="Arial"/>
                <w:sz w:val="21"/>
                <w:szCs w:val="21"/>
                <w:lang w:bidi="ar-AE"/>
              </w:rPr>
              <w:t>] akan dibebaskan pada Tanggal Penyelesaian Finansial.]]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ascii="Arial" w:hAnsi="Arial" w:eastAsia="SimSun" w:cs="Arial"/>
                <w:b/>
                <w:sz w:val="21"/>
                <w:szCs w:val="21"/>
                <w:lang w:bidi="ar-AE"/>
              </w:rPr>
            </w:pPr>
            <w:r>
              <w:rPr>
                <w:rFonts w:ascii="Arial" w:hAnsi="Arial" w:eastAsia="SimSun" w:cs="Arial"/>
                <w:b/>
                <w:sz w:val="21"/>
                <w:szCs w:val="21"/>
                <w:lang w:bidi="ar-AE"/>
              </w:rPr>
              <w:t>[Dukungan/Janji-janji Sponsor:]</w:t>
            </w:r>
            <w:r>
              <w:rPr>
                <w:rStyle w:val="25"/>
                <w:rFonts w:ascii="Arial" w:hAnsi="Arial" w:eastAsia="SimSun" w:cs="Arial"/>
                <w:b/>
                <w:bCs/>
                <w:sz w:val="21"/>
                <w:szCs w:val="21"/>
                <w:lang w:bidi="ar-AE"/>
              </w:rPr>
              <w:footnoteReference w:id="35"/>
            </w:r>
          </w:p>
        </w:tc>
        <w:tc>
          <w:tcPr>
            <w:tcW w:w="5157" w:type="dxa"/>
          </w:tcPr>
          <w:p>
            <w:pPr>
              <w:pStyle w:val="99"/>
              <w:keepLines/>
              <w:numPr>
                <w:ilvl w:val="0"/>
                <w:numId w:val="0"/>
              </w:numPr>
              <w:spacing w:after="120"/>
              <w:rPr>
                <w:rFonts w:ascii="Arial" w:hAnsi="Arial" w:eastAsia="SimSun" w:cs="Arial"/>
                <w:sz w:val="21"/>
                <w:szCs w:val="21"/>
                <w:lang w:bidi="ar-AE"/>
              </w:rPr>
            </w:pPr>
            <w:r>
              <w:rPr>
                <w:rFonts w:ascii="Arial" w:hAnsi="Arial" w:eastAsia="SimSun" w:cs="Arial"/>
                <w:sz w:val="21"/>
                <w:szCs w:val="21"/>
                <w:lang w:bidi="ar-A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ascii="Arial" w:hAnsi="Arial" w:eastAsia="SimSun" w:cs="Arial"/>
                <w:b/>
                <w:sz w:val="21"/>
                <w:szCs w:val="21"/>
                <w:lang w:bidi="ar-AE"/>
              </w:rPr>
            </w:pPr>
            <w:r>
              <w:rPr>
                <w:rFonts w:ascii="Arial" w:hAnsi="Arial" w:eastAsia="SimSun" w:cs="Arial"/>
                <w:b/>
                <w:sz w:val="21"/>
                <w:szCs w:val="21"/>
                <w:lang w:bidi="ar-AE"/>
              </w:rPr>
              <w:t>Rasio Utang Terhadap Ekuitas:</w:t>
            </w:r>
            <w:r>
              <w:rPr>
                <w:rStyle w:val="25"/>
                <w:rFonts w:ascii="Arial" w:hAnsi="Arial" w:eastAsia="SimSun" w:cs="Arial"/>
                <w:b/>
                <w:sz w:val="21"/>
                <w:szCs w:val="21"/>
                <w:lang w:bidi="ar-AE"/>
              </w:rPr>
              <w:footnoteReference w:id="36"/>
            </w:r>
          </w:p>
        </w:tc>
        <w:tc>
          <w:tcPr>
            <w:tcW w:w="5157" w:type="dxa"/>
          </w:tcPr>
          <w:p>
            <w:pPr>
              <w:pStyle w:val="99"/>
              <w:keepLines/>
              <w:numPr>
                <w:ilvl w:val="0"/>
                <w:numId w:val="0"/>
              </w:numPr>
              <w:spacing w:after="120"/>
              <w:rPr>
                <w:rFonts w:ascii="Arial" w:hAnsi="Arial" w:eastAsia="SimSun" w:cs="Arial"/>
                <w:sz w:val="21"/>
                <w:szCs w:val="21"/>
                <w:lang w:bidi="ar-AE"/>
              </w:rPr>
            </w:pPr>
            <w:r>
              <w:rPr>
                <w:rFonts w:ascii="Arial" w:hAnsi="Arial" w:eastAsia="SimSun" w:cs="Arial"/>
                <w:sz w:val="21"/>
                <w:szCs w:val="21"/>
                <w:lang w:bidi="ar-AE"/>
              </w:rPr>
              <w:t>[</w:t>
            </w:r>
            <w:r>
              <w:rPr>
                <w:rFonts w:ascii="Arial" w:hAnsi="Arial" w:eastAsia="SimSun" w:cs="Arial"/>
                <w:i/>
                <w:iCs/>
                <w:sz w:val="21"/>
                <w:szCs w:val="21"/>
                <w:lang w:bidi="ar-AE"/>
              </w:rPr>
              <w:t>Hal</w:t>
            </w:r>
            <w:r>
              <w:rPr>
                <w:rFonts w:ascii="Arial" w:hAnsi="Arial" w:eastAsia="SimSun" w:cs="Arial"/>
                <w:sz w:val="21"/>
                <w:szCs w:val="21"/>
                <w:lang w:bidi="ar-AE"/>
              </w:rPr>
              <w:t xml:space="preserve"> </w:t>
            </w:r>
            <w:r>
              <w:rPr>
                <w:rFonts w:ascii="Arial" w:hAnsi="Arial" w:eastAsia="SimSun" w:cs="Arial"/>
                <w:i/>
                <w:iCs/>
                <w:sz w:val="21"/>
                <w:szCs w:val="21"/>
                <w:lang w:bidi="ar-AE"/>
              </w:rPr>
              <w:t>ini akan menjadi rasio Utang yang disyaratkan (yaitu total jumlah pokok utang senior) terhadap Ekuitas (yaitu modal saham yang disetor penuh + pinjaman-pinjaman pemegang saham yang telah dibuat dan dikomitmenkan</w:t>
            </w:r>
            <w:r>
              <w:rPr>
                <w:rStyle w:val="25"/>
                <w:rFonts w:ascii="Arial" w:hAnsi="Arial" w:eastAsia="SimSun" w:cs="Arial"/>
                <w:i/>
                <w:iCs/>
                <w:sz w:val="21"/>
                <w:szCs w:val="21"/>
                <w:lang w:bidi="ar-AE"/>
              </w:rPr>
              <w:footnoteReference w:id="37"/>
            </w:r>
            <w:r>
              <w:rPr>
                <w:rFonts w:ascii="Arial" w:hAnsi="Arial" w:eastAsia="SimSun" w:cs="Arial"/>
                <w:i/>
                <w:iCs/>
                <w:sz w:val="21"/>
                <w:szCs w:val="21"/>
                <w:lang w:bidi="ar-AE"/>
              </w:rPr>
              <w:t>).</w:t>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ascii="Arial" w:hAnsi="Arial" w:eastAsia="SimSun" w:cs="Arial"/>
                <w:b/>
                <w:sz w:val="21"/>
                <w:szCs w:val="21"/>
                <w:lang w:bidi="ar-AE"/>
              </w:rPr>
            </w:pPr>
            <w:r>
              <w:rPr>
                <w:rFonts w:ascii="Arial" w:hAnsi="Arial" w:eastAsia="SimSun" w:cs="Arial"/>
                <w:b/>
                <w:sz w:val="21"/>
                <w:szCs w:val="21"/>
                <w:lang w:bidi="ar-AE"/>
              </w:rPr>
              <w:t>Tanggal Penandatanganan:</w:t>
            </w:r>
          </w:p>
        </w:tc>
        <w:tc>
          <w:tcPr>
            <w:tcW w:w="5157" w:type="dxa"/>
          </w:tcPr>
          <w:p>
            <w:pPr>
              <w:pStyle w:val="99"/>
              <w:keepLines/>
              <w:numPr>
                <w:ilvl w:val="0"/>
                <w:numId w:val="0"/>
              </w:numPr>
              <w:spacing w:after="120"/>
              <w:rPr>
                <w:rFonts w:ascii="Arial" w:hAnsi="Arial" w:eastAsia="SimSun" w:cs="Arial"/>
                <w:sz w:val="21"/>
                <w:szCs w:val="21"/>
                <w:lang w:bidi="ar-AE"/>
              </w:rPr>
            </w:pPr>
            <w:r>
              <w:rPr>
                <w:rFonts w:ascii="Arial" w:hAnsi="Arial" w:eastAsia="SimSun" w:cs="Arial"/>
                <w:sz w:val="21"/>
                <w:szCs w:val="21"/>
                <w:lang w:bidi="ar-AE"/>
              </w:rPr>
              <w:t>Tanggal dimana Dokumen-dokumen Pembiayaan ditandatangani.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ascii="Arial" w:hAnsi="Arial" w:eastAsia="SimSun" w:cs="Arial"/>
                <w:b/>
                <w:sz w:val="21"/>
                <w:szCs w:val="21"/>
                <w:lang w:bidi="ar-AE"/>
              </w:rPr>
            </w:pPr>
            <w:r>
              <w:rPr>
                <w:rFonts w:ascii="Arial" w:hAnsi="Arial" w:eastAsia="SimSun" w:cs="Arial"/>
                <w:b/>
                <w:sz w:val="21"/>
                <w:szCs w:val="21"/>
                <w:lang w:bidi="ar-AE"/>
              </w:rPr>
              <w:t>Pemenuhan Pembiayaan:</w:t>
            </w:r>
          </w:p>
        </w:tc>
        <w:tc>
          <w:tcPr>
            <w:tcW w:w="5157" w:type="dxa"/>
          </w:tcPr>
          <w:p>
            <w:pPr>
              <w:pStyle w:val="99"/>
              <w:keepLines/>
              <w:numPr>
                <w:ilvl w:val="0"/>
                <w:numId w:val="0"/>
              </w:numPr>
              <w:spacing w:after="120"/>
              <w:rPr>
                <w:rFonts w:ascii="Arial" w:hAnsi="Arial" w:eastAsia="SimSun" w:cs="Arial"/>
                <w:sz w:val="21"/>
                <w:szCs w:val="21"/>
                <w:lang w:bidi="ar-AE"/>
              </w:rPr>
            </w:pPr>
            <w:r>
              <w:rPr>
                <w:rFonts w:ascii="Arial" w:hAnsi="Arial" w:eastAsia="SimSun" w:cs="Arial"/>
                <w:sz w:val="21"/>
                <w:szCs w:val="21"/>
                <w:lang w:bidi="ar-AE"/>
              </w:rPr>
              <w:t>Tanggal pemenuhan atau penyampingan semua prasyarat pendahuluan atas pemenuhan pembiayaan sebagaimana yang dijelaskan dalam “Prasyarat Pendahuluan” di bawah ini.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ascii="Arial" w:hAnsi="Arial" w:eastAsia="SimSun" w:cs="Arial"/>
                <w:b/>
                <w:sz w:val="21"/>
                <w:szCs w:val="21"/>
                <w:lang w:bidi="ar-AE"/>
              </w:rPr>
            </w:pPr>
            <w:r>
              <w:rPr>
                <w:rFonts w:ascii="Arial" w:hAnsi="Arial" w:eastAsia="SimSun" w:cs="Arial"/>
                <w:b/>
                <w:sz w:val="21"/>
                <w:szCs w:val="21"/>
                <w:lang w:bidi="ar-AE"/>
              </w:rPr>
              <w:t>Tanggal Operasi Komersial</w:t>
            </w:r>
            <w:r>
              <w:rPr>
                <w:rStyle w:val="25"/>
                <w:rFonts w:ascii="Arial" w:hAnsi="Arial" w:eastAsia="SimSun" w:cs="Arial"/>
                <w:sz w:val="21"/>
                <w:szCs w:val="21"/>
                <w:lang w:bidi="ar-AE"/>
              </w:rPr>
              <w:footnoteReference w:id="38"/>
            </w:r>
            <w:r>
              <w:rPr>
                <w:rFonts w:ascii="Arial" w:hAnsi="Arial" w:eastAsia="SimSun" w:cs="Arial"/>
                <w:b/>
                <w:sz w:val="21"/>
                <w:szCs w:val="21"/>
                <w:lang w:bidi="ar-AE"/>
              </w:rPr>
              <w:t>:</w:t>
            </w:r>
          </w:p>
        </w:tc>
        <w:tc>
          <w:tcPr>
            <w:tcW w:w="5157" w:type="dxa"/>
          </w:tcPr>
          <w:p>
            <w:pPr>
              <w:pStyle w:val="99"/>
              <w:keepLines/>
              <w:numPr>
                <w:ilvl w:val="0"/>
                <w:numId w:val="0"/>
              </w:numPr>
              <w:spacing w:after="120"/>
              <w:rPr>
                <w:rFonts w:ascii="Arial" w:hAnsi="Arial" w:eastAsia="SimSun" w:cs="Arial"/>
                <w:sz w:val="21"/>
                <w:szCs w:val="21"/>
                <w:lang w:bidi="ar-AE"/>
              </w:rPr>
            </w:pP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ascii="Arial" w:hAnsi="Arial" w:eastAsia="SimSun" w:cs="Arial"/>
                <w:b/>
                <w:sz w:val="21"/>
                <w:szCs w:val="21"/>
                <w:lang w:bidi="ar-AE"/>
              </w:rPr>
            </w:pPr>
            <w:r>
              <w:rPr>
                <w:rFonts w:ascii="Arial" w:hAnsi="Arial" w:eastAsia="SimSun" w:cs="Arial"/>
                <w:b/>
                <w:sz w:val="21"/>
                <w:szCs w:val="21"/>
                <w:lang w:bidi="ar-AE"/>
              </w:rPr>
              <w:t>[Tanggal Penyelesaian Finansial</w:t>
            </w:r>
            <w:r>
              <w:rPr>
                <w:rStyle w:val="25"/>
                <w:rFonts w:ascii="Arial" w:hAnsi="Arial" w:eastAsia="SimSun" w:cs="Arial"/>
                <w:sz w:val="21"/>
                <w:szCs w:val="21"/>
                <w:lang w:bidi="ar-AE"/>
              </w:rPr>
              <w:footnoteReference w:id="39"/>
            </w:r>
            <w:r>
              <w:rPr>
                <w:rFonts w:ascii="Arial" w:hAnsi="Arial" w:eastAsia="SimSun" w:cs="Arial"/>
                <w:b/>
                <w:sz w:val="21"/>
                <w:szCs w:val="21"/>
                <w:lang w:bidi="ar-AE"/>
              </w:rPr>
              <w:t>:</w:t>
            </w:r>
          </w:p>
        </w:tc>
        <w:tc>
          <w:tcPr>
            <w:tcW w:w="5157" w:type="dxa"/>
          </w:tcPr>
          <w:p>
            <w:pPr>
              <w:pStyle w:val="99"/>
              <w:keepLines/>
              <w:numPr>
                <w:ilvl w:val="0"/>
                <w:numId w:val="0"/>
              </w:numPr>
              <w:spacing w:after="120"/>
              <w:rPr>
                <w:rFonts w:ascii="Arial" w:hAnsi="Arial" w:eastAsia="SimSun" w:cs="Arial"/>
                <w:sz w:val="21"/>
                <w:szCs w:val="21"/>
                <w:lang w:bidi="ar-AE"/>
              </w:rPr>
            </w:pPr>
            <w:r>
              <w:rPr>
                <w:rFonts w:ascii="Arial" w:hAnsi="Arial" w:eastAsia="SimSun" w:cs="Arial"/>
                <w:sz w:val="21"/>
                <w:szCs w:val="21"/>
                <w:lang w:bidi="ar-AE"/>
              </w:rPr>
              <w:t xml:space="preserve">Tanggal pertama dimana persyaratan-persyaratan penyelesaian berikut ini telah dipenuhi sebagaimana dapat diterima oleh Para Kreditur: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ascii="Arial" w:hAnsi="Arial" w:eastAsia="SimSun" w:cs="Arial"/>
                <w:b/>
                <w:sz w:val="21"/>
                <w:szCs w:val="21"/>
                <w:lang w:bidi="ar-AE"/>
              </w:rPr>
            </w:pPr>
            <w:r>
              <w:rPr>
                <w:rFonts w:ascii="Arial" w:hAnsi="Arial" w:eastAsia="SimSun" w:cs="Arial"/>
                <w:b/>
                <w:bCs/>
                <w:sz w:val="21"/>
                <w:szCs w:val="21"/>
                <w:lang w:bidi="ar-AE"/>
              </w:rPr>
              <w:t xml:space="preserve">Tanggal Penyelesaian Proyek: </w:t>
            </w:r>
          </w:p>
        </w:tc>
        <w:tc>
          <w:tcPr>
            <w:tcW w:w="5157" w:type="dxa"/>
          </w:tcPr>
          <w:p>
            <w:pPr>
              <w:pStyle w:val="3"/>
              <w:widowControl w:val="0"/>
              <w:spacing w:after="120"/>
              <w:ind w:left="0"/>
              <w:rPr>
                <w:rFonts w:ascii="Arial" w:hAnsi="Arial" w:eastAsia="SimSun" w:cs="Arial"/>
                <w:sz w:val="21"/>
                <w:szCs w:val="21"/>
                <w:lang w:bidi="ar-AE"/>
              </w:rPr>
            </w:pPr>
            <w:r>
              <w:rPr>
                <w:rFonts w:ascii="Arial" w:hAnsi="Arial" w:eastAsia="SimSun" w:cs="Arial"/>
                <w:sz w:val="21"/>
                <w:szCs w:val="21"/>
                <w:lang w:bidi="ar-AE"/>
              </w:rPr>
              <w:t>Tanggal pertama dimana persyaratan-persyaratan penyelesaian berikut ini telah dipenuhi: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[masukkan pengujian-pengujian penyelesaian, keandalan dan kinerja] telah dipenuhi sesuai dengan Kontrak Konstruksi [dan Kontrak[-kontrak] Kerja Sama Jual Beli (</w:t>
            </w:r>
            <w:r>
              <w:rPr>
                <w:rFonts w:ascii="Arial" w:hAnsi="Arial" w:eastAsia="SimSun" w:cs="Arial"/>
                <w:i/>
                <w:iCs/>
                <w:sz w:val="21"/>
                <w:szCs w:val="21"/>
                <w:lang w:bidi="ar-AE"/>
              </w:rPr>
              <w:t>Offtake</w:t>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sertifikat penerimaan sementara/awal terkait telah diterbitkan;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w:t>
            </w:r>
            <w:r>
              <w:rPr>
                <w:rFonts w:ascii="Arial" w:hAnsi="Arial" w:eastAsia="SimSun" w:cs="Arial"/>
                <w:i/>
                <w:iCs/>
                <w:sz w:val="21"/>
                <w:szCs w:val="21"/>
                <w:lang w:bidi="ar-AE"/>
              </w:rPr>
              <w:t xml:space="preserve">masukkan otoritas proyek terkait] </w:t>
            </w:r>
            <w:r>
              <w:rPr>
                <w:rFonts w:ascii="Arial" w:hAnsi="Arial" w:eastAsia="SimSun" w:cs="Arial"/>
                <w:sz w:val="21"/>
                <w:szCs w:val="21"/>
                <w:lang w:bidi="ar-AE"/>
              </w:rPr>
              <w:t>telah  menegaskan penerimaan atas [ ]</w:t>
            </w:r>
            <w:r>
              <w:rPr>
                <w:rFonts w:ascii="Arial" w:hAnsi="Arial" w:eastAsia="SimSun" w:cs="Arial"/>
                <w:i/>
                <w:iCs/>
                <w:sz w:val="21"/>
                <w:szCs w:val="21"/>
                <w:lang w:bidi="ar-AE"/>
              </w:rPr>
              <w:t xml:space="preserve"> </w:t>
            </w:r>
            <w:r>
              <w:rPr>
                <w:rFonts w:ascii="Arial" w:hAnsi="Arial" w:eastAsia="SimSun" w:cs="Arial"/>
                <w:sz w:val="21"/>
                <w:szCs w:val="21"/>
                <w:lang w:bidi="ar-AE"/>
              </w:rPr>
              <w:t>berdasarkan</w:t>
            </w:r>
            <w:r>
              <w:rPr>
                <w:rFonts w:ascii="Arial" w:hAnsi="Arial" w:eastAsia="SimSun" w:cs="Arial"/>
                <w:i/>
                <w:iCs/>
                <w:sz w:val="21"/>
                <w:szCs w:val="21"/>
                <w:lang w:bidi="ar-AE"/>
              </w:rPr>
              <w:t xml:space="preserve"> [masukkan perjanjian konsesi terkait</w:t>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[Pabrik dan semua infrastruktur dan utilitas terkait yang disyaratkan untuk Proyek] telah diselesaikan sebagaimana dapat diterima oleh Penasihat Teknis, telah disetujui oleh Perusahaan Proyek dan telah berfungsi sesuai dengan desain dan spesifikasi operasi yang diatur dalam Kontrak Konstruksi [dan Kontrak[-kontrak] Kerja Sama Jual Beli (</w:t>
            </w:r>
            <w:r>
              <w:rPr>
                <w:rFonts w:ascii="Arial" w:hAnsi="Arial" w:eastAsia="SimSun" w:cs="Arial"/>
                <w:i/>
                <w:iCs/>
                <w:sz w:val="21"/>
                <w:szCs w:val="21"/>
                <w:lang w:bidi="ar-AE"/>
              </w:rPr>
              <w:t>Offtake</w:t>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w:t>
            </w:r>
            <w:r>
              <w:rPr>
                <w:rFonts w:ascii="Arial" w:hAnsi="Arial" w:eastAsia="SimSun" w:cs="Arial"/>
                <w:i/>
                <w:iCs/>
                <w:sz w:val="21"/>
                <w:szCs w:val="21"/>
                <w:lang w:bidi="ar-AE"/>
              </w:rPr>
              <w:t>masukkan persyaratan-persyaratan teknis atau kinerja lebih lanjut dari Pabrik atau infrastruktur dan utilitas terkait atau yang disyaratkan baik di dalam atau di luar lokasi proyek</w:t>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Tanggal Operasi Komersial telah terjadi;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Kontrak[-kontrak] Pasokan, Kontrak[-kontrak] Kerja Sama Jual Beli (</w:t>
            </w:r>
            <w:r>
              <w:rPr>
                <w:rFonts w:ascii="Arial" w:hAnsi="Arial" w:eastAsia="SimSun" w:cs="Arial"/>
                <w:i/>
                <w:iCs/>
                <w:sz w:val="21"/>
                <w:szCs w:val="21"/>
                <w:lang w:bidi="ar-AE"/>
              </w:rPr>
              <w:t>Offtake</w:t>
            </w:r>
            <w:r>
              <w:rPr>
                <w:rFonts w:ascii="Arial" w:hAnsi="Arial" w:eastAsia="SimSun" w:cs="Arial"/>
                <w:sz w:val="21"/>
                <w:szCs w:val="21"/>
                <w:lang w:bidi="ar-AE"/>
              </w:rPr>
              <w:t>), Kontrak O&amp;P, [dan] [</w:t>
            </w:r>
            <w:r>
              <w:rPr>
                <w:rFonts w:ascii="Arial" w:hAnsi="Arial" w:eastAsia="SimSun" w:cs="Arial"/>
                <w:i/>
                <w:iCs/>
                <w:sz w:val="21"/>
                <w:szCs w:val="21"/>
                <w:lang w:bidi="ar-AE"/>
              </w:rPr>
              <w:t>masukkan lainnya yang terkait</w:t>
            </w:r>
            <w:r>
              <w:rPr>
                <w:rFonts w:ascii="Arial" w:hAnsi="Arial" w:eastAsia="SimSun" w:cs="Arial"/>
                <w:sz w:val="21"/>
                <w:szCs w:val="21"/>
                <w:lang w:bidi="ar-AE"/>
              </w:rPr>
              <w:t xml:space="preserve">] adalah dengan tanpa syarat dan berlaku secara penuh dan para pihak dalam kontrak-kontrak tersebut melaksanakan sesuai dengan ketentuan-ketentuannya;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tidak ada tuntutan-tuntutan, klaim-klaim, sengketa-sengketa atau proses-proses hukum yang tertunda atau belum diselesaikan terhadap Perusahaan Proyek dan semua Biaya Proyek yang telah jatuh tempo dan harus dibayarkan telah dibayarkan secara penuh atau cadangan yang memadai telah dibuat untuk hal tersebut;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setiap ganti rugi yang ditetapkan nilainya atas keterlambatan penyelesaian dan/atau ganti rugi yang ditetapkan nilainya atas kegagalan kinerja yang dibayarkan berdasarkan Kontrak Konstruksi [dan Kontrak[-kontrak] Kerja Sama Jual Beli (</w:t>
            </w:r>
            <w:r>
              <w:rPr>
                <w:rFonts w:ascii="Arial" w:hAnsi="Arial" w:eastAsia="SimSun" w:cs="Arial"/>
                <w:i/>
                <w:iCs/>
                <w:sz w:val="21"/>
                <w:szCs w:val="21"/>
                <w:lang w:bidi="ar-AE"/>
              </w:rPr>
              <w:t>Offtake</w:t>
            </w:r>
            <w:r>
              <w:rPr>
                <w:rFonts w:ascii="Arial" w:hAnsi="Arial" w:eastAsia="SimSun" w:cs="Arial"/>
                <w:sz w:val="21"/>
                <w:szCs w:val="21"/>
                <w:lang w:bidi="ar-AE"/>
              </w:rPr>
              <w:t>)] telah dibayarkan secara penuh;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 xml:space="preserve">Kasus Dasar terkini dan anggaran-anggaran operasional telah disiapkan oleh Perusahaan Proyek dan disetujui oleh Agen </w:t>
            </w:r>
            <w:r>
              <w:rPr>
                <w:rFonts w:ascii="Arial" w:hAnsi="Arial" w:eastAsia="SimSun" w:cs="Arial"/>
                <w:sz w:val="21"/>
                <w:szCs w:val="21"/>
                <w:lang w:val="en-US" w:bidi="ar-AE"/>
              </w:rPr>
              <w:t>Antarkreditur</w:t>
            </w:r>
            <w:r>
              <w:rPr>
                <w:rFonts w:ascii="Arial" w:hAnsi="Arial" w:eastAsia="SimSun" w:cs="Arial"/>
                <w:sz w:val="21"/>
                <w:szCs w:val="21"/>
                <w:lang w:bidi="ar-AE"/>
              </w:rPr>
              <w:t xml:space="preserve"> dengan berkonsultasi dengan Penasihat Teknis;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Times New Roman" w:cs="Arial"/>
                <w:sz w:val="21"/>
                <w:szCs w:val="21"/>
                <w:lang w:bidi="ar-AE"/>
              </w:rPr>
            </w:pPr>
            <w:r>
              <w:rPr>
                <w:rFonts w:ascii="Arial" w:hAnsi="Arial" w:eastAsia="SimSun" w:cs="Arial"/>
                <w:sz w:val="21"/>
                <w:szCs w:val="21"/>
                <w:lang w:bidi="ar-AE"/>
              </w:rPr>
              <w:t>Laporan Keuangan terkini yang disampaikan menunjukkan bahwa, pada Tanggal Perhitungan terakhir, (i) [Proyeksi DSCR paling sedikit [ ]]</w:t>
            </w:r>
            <w:r>
              <w:rPr>
                <w:rStyle w:val="25"/>
                <w:rFonts w:ascii="Arial" w:hAnsi="Arial" w:eastAsia="SimSun" w:cs="Arial"/>
                <w:sz w:val="21"/>
                <w:szCs w:val="21"/>
                <w:lang w:bidi="ar-AE"/>
              </w:rPr>
              <w:footnoteReference w:id="40"/>
            </w:r>
            <w:r>
              <w:rPr>
                <w:rFonts w:ascii="Arial" w:hAnsi="Arial" w:eastAsia="SimSun" w:cs="Arial"/>
                <w:sz w:val="21"/>
                <w:szCs w:val="21"/>
                <w:lang w:bidi="ar-AE"/>
              </w:rPr>
              <w:t xml:space="preserve">, dan (ii) [LLCR paling sedikit [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Times New Roman" w:cs="Arial"/>
                <w:sz w:val="21"/>
                <w:szCs w:val="21"/>
                <w:lang w:bidi="ar-AE"/>
              </w:rPr>
            </w:pPr>
            <w:r>
              <w:rPr>
                <w:rFonts w:ascii="Arial" w:hAnsi="Arial" w:eastAsia="SimSun" w:cs="Arial"/>
                <w:sz w:val="21"/>
                <w:szCs w:val="21"/>
                <w:lang w:bidi="ar-AE"/>
              </w:rPr>
              <w:t>Proyek memenuhi semua peraturan perundang-undangan dan pedoman lingkungan hidup;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semua izin/persetujuan yang diperlukan untuk memungkinkan Perusahaan Proyek menggunakan hak-haknya dan melaksanakan dan memenuhi kewajiban-kewajibannya berdasarkan Dokumen-dokumen Proyek telah diterbitkan dengan tanpa syarat (atau, jika diterbitkan dengan tunduk pada syarat-syarat, syarat-syarat tersebut telah dipenuhi atau dikesampingkan) dan tetap berlaku secara penuh;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i/>
                <w:iCs/>
                <w:sz w:val="21"/>
                <w:szCs w:val="21"/>
                <w:lang w:bidi="ar-AE"/>
              </w:rPr>
              <w:t xml:space="preserve">Debt Service Reserve Account </w:t>
            </w:r>
            <w:r>
              <w:rPr>
                <w:rFonts w:ascii="Arial" w:hAnsi="Arial" w:eastAsia="SimSun" w:cs="Arial"/>
                <w:sz w:val="21"/>
                <w:szCs w:val="21"/>
                <w:lang w:bidi="ar-AE"/>
              </w:rPr>
              <w:t>didanai untuk mencapai jumlah yang disyaratkan sebagaimana dijelaskan dalam “</w:t>
            </w:r>
            <w:r>
              <w:rPr>
                <w:rFonts w:ascii="Arial" w:hAnsi="Arial" w:eastAsia="SimSun" w:cs="Arial"/>
                <w:i/>
                <w:iCs/>
                <w:sz w:val="21"/>
                <w:szCs w:val="21"/>
                <w:lang w:bidi="ar-AE"/>
              </w:rPr>
              <w:t>Debt Service Reserve Account</w:t>
            </w:r>
            <w:r>
              <w:rPr>
                <w:rFonts w:ascii="Arial" w:hAnsi="Arial" w:eastAsia="SimSun" w:cs="Arial"/>
                <w:sz w:val="21"/>
                <w:szCs w:val="21"/>
                <w:lang w:bidi="ar-AE"/>
              </w:rPr>
              <w:t>” di bawah ini [, baik melalui setoran tunai atau dengan Dukungan Kredit Yang Dapat Diterima</w:t>
            </w:r>
            <w:r>
              <w:rPr>
                <w:rStyle w:val="25"/>
                <w:rFonts w:ascii="Arial" w:hAnsi="Arial" w:eastAsia="SimSun" w:cs="Arial"/>
                <w:sz w:val="21"/>
                <w:szCs w:val="21"/>
                <w:lang w:bidi="ar-AE"/>
              </w:rPr>
              <w:footnoteReference w:id="41"/>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i/>
                <w:iCs/>
                <w:sz w:val="21"/>
                <w:szCs w:val="21"/>
                <w:lang w:bidi="ar-AE"/>
              </w:rPr>
              <w:t>Maintenance Reserve Account</w:t>
            </w:r>
            <w:r>
              <w:rPr>
                <w:rFonts w:ascii="Arial" w:hAnsi="Arial" w:eastAsia="SimSun" w:cs="Arial"/>
                <w:sz w:val="21"/>
                <w:szCs w:val="21"/>
                <w:lang w:bidi="ar-AE"/>
              </w:rPr>
              <w:t xml:space="preserve"> dibiayai untuk mencapai jumlah yang disyaratkan sebagaimana dijelaskan dalam “</w:t>
            </w:r>
            <w:r>
              <w:rPr>
                <w:rFonts w:ascii="Arial" w:hAnsi="Arial" w:eastAsia="SimSun" w:cs="Arial"/>
                <w:i/>
                <w:iCs/>
                <w:sz w:val="21"/>
                <w:szCs w:val="21"/>
                <w:lang w:bidi="ar-AE"/>
              </w:rPr>
              <w:t>Maintenance Reserve Account</w:t>
            </w:r>
            <w:r>
              <w:rPr>
                <w:rFonts w:ascii="Arial" w:hAnsi="Arial" w:eastAsia="SimSun" w:cs="Arial"/>
                <w:sz w:val="21"/>
                <w:szCs w:val="21"/>
                <w:lang w:bidi="ar-AE"/>
              </w:rPr>
              <w:t>” di bawah ini [, baik melalui setoran tunai atau dengan Dukungan Kredit Yang Dapat Diterima];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semua asuransi yang disyaratkan selama periode operasi telah berlaku dan berlaku secara penuh, sebagaimana dinyatakan oleh Penasihat Asuransi;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 xml:space="preserve">tidak ada Cedera Janji [atau keadaan memaksa] yang berlanjut;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w:t>
            </w:r>
            <w:r>
              <w:rPr>
                <w:rFonts w:ascii="Arial" w:hAnsi="Arial" w:eastAsia="SimSun" w:cs="Arial"/>
                <w:i/>
                <w:iCs/>
                <w:sz w:val="21"/>
                <w:szCs w:val="21"/>
                <w:lang w:bidi="ar-AE"/>
              </w:rPr>
              <w:t>masukkan syarat-syarat lain (misalnya laporan-laporan atau pembaruan</w:t>
            </w:r>
            <w:r>
              <w:rPr>
                <w:rFonts w:ascii="Arial" w:hAnsi="Arial" w:eastAsia="SimSun" w:cs="Arial"/>
                <w:i/>
                <w:iCs/>
                <w:sz w:val="21"/>
                <w:szCs w:val="21"/>
                <w:lang w:val="en-US" w:bidi="ar-AE"/>
              </w:rPr>
              <w:t>-</w:t>
            </w:r>
            <w:r>
              <w:rPr>
                <w:rFonts w:ascii="Arial" w:hAnsi="Arial" w:eastAsia="SimSun" w:cs="Arial"/>
                <w:i/>
                <w:iCs/>
                <w:sz w:val="21"/>
                <w:szCs w:val="21"/>
                <w:lang w:bidi="ar-AE"/>
              </w:rPr>
              <w:t xml:space="preserve">pembaruan terkait LH&amp;S) atau pelaksanaan, laporan (misalnya </w:t>
            </w:r>
            <w:r>
              <w:rPr>
                <w:rFonts w:ascii="Arial" w:hAnsi="Arial" w:eastAsia="SimSun" w:cs="Arial"/>
                <w:i/>
                <w:iCs/>
                <w:sz w:val="21"/>
                <w:szCs w:val="21"/>
                <w:lang w:val="en-US" w:bidi="ar-AE"/>
              </w:rPr>
              <w:t>ke</w:t>
            </w:r>
            <w:r>
              <w:rPr>
                <w:rFonts w:ascii="Arial" w:hAnsi="Arial" w:eastAsia="SimSun" w:cs="Arial"/>
                <w:i/>
                <w:iCs/>
                <w:sz w:val="21"/>
                <w:szCs w:val="21"/>
                <w:lang w:bidi="ar-AE"/>
              </w:rPr>
              <w:t>cacat</w:t>
            </w:r>
            <w:r>
              <w:rPr>
                <w:rFonts w:ascii="Arial" w:hAnsi="Arial" w:eastAsia="SimSun" w:cs="Arial"/>
                <w:i/>
                <w:iCs/>
                <w:sz w:val="21"/>
                <w:szCs w:val="21"/>
                <w:lang w:val="en-US" w:bidi="ar-AE"/>
              </w:rPr>
              <w:t>an</w:t>
            </w:r>
            <w:r>
              <w:rPr>
                <w:rFonts w:ascii="Arial" w:hAnsi="Arial" w:eastAsia="SimSun" w:cs="Arial"/>
                <w:i/>
                <w:iCs/>
                <w:sz w:val="21"/>
                <w:szCs w:val="21"/>
                <w:lang w:bidi="ar-AE"/>
              </w:rPr>
              <w:t>-</w:t>
            </w:r>
            <w:r>
              <w:rPr>
                <w:rFonts w:ascii="Arial" w:hAnsi="Arial" w:eastAsia="SimSun" w:cs="Arial"/>
                <w:i/>
                <w:iCs/>
                <w:sz w:val="21"/>
                <w:szCs w:val="21"/>
                <w:lang w:val="en-US" w:bidi="ar-AE"/>
              </w:rPr>
              <w:t>ke</w:t>
            </w:r>
            <w:r>
              <w:rPr>
                <w:rFonts w:ascii="Arial" w:hAnsi="Arial" w:eastAsia="SimSun" w:cs="Arial"/>
                <w:i/>
                <w:iCs/>
                <w:sz w:val="21"/>
                <w:szCs w:val="21"/>
                <w:lang w:bidi="ar-AE"/>
              </w:rPr>
              <w:t>cacat</w:t>
            </w:r>
            <w:r>
              <w:rPr>
                <w:rFonts w:ascii="Arial" w:hAnsi="Arial" w:eastAsia="SimSun" w:cs="Arial"/>
                <w:i/>
                <w:iCs/>
                <w:sz w:val="21"/>
                <w:szCs w:val="21"/>
                <w:lang w:val="en-US" w:bidi="ar-AE"/>
              </w:rPr>
              <w:t>an</w:t>
            </w:r>
            <w:r>
              <w:rPr>
                <w:rFonts w:ascii="Arial" w:hAnsi="Arial" w:eastAsia="SimSun" w:cs="Arial"/>
                <w:i/>
                <w:iCs/>
                <w:sz w:val="21"/>
                <w:szCs w:val="21"/>
                <w:lang w:bidi="ar-AE"/>
              </w:rPr>
              <w:t>/jaminan</w:t>
            </w:r>
            <w:r>
              <w:rPr>
                <w:rFonts w:ascii="Arial" w:hAnsi="Arial" w:eastAsia="SimSun" w:cs="Arial"/>
                <w:i/>
                <w:iCs/>
                <w:sz w:val="21"/>
                <w:szCs w:val="21"/>
                <w:lang w:val="en-US" w:bidi="ar-AE"/>
              </w:rPr>
              <w:t>-</w:t>
            </w:r>
            <w:r>
              <w:rPr>
                <w:rFonts w:ascii="Arial" w:hAnsi="Arial" w:eastAsia="SimSun" w:cs="Arial"/>
                <w:i/>
                <w:iCs/>
                <w:sz w:val="21"/>
                <w:szCs w:val="21"/>
                <w:lang w:bidi="ar-AE"/>
              </w:rPr>
              <w:t>jaminan pelaksanaan) atau persyaratan-persyaratan keuangan</w:t>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 xml:space="preserve">Penasihat Teknis telah menyampaikan kepada Agen </w:t>
            </w:r>
            <w:r>
              <w:rPr>
                <w:rFonts w:ascii="Arial" w:hAnsi="Arial" w:eastAsia="SimSun" w:cs="Arial"/>
                <w:sz w:val="21"/>
                <w:szCs w:val="21"/>
                <w:lang w:val="en-US" w:bidi="ar-AE"/>
              </w:rPr>
              <w:t>Antarkreditur</w:t>
            </w:r>
            <w:r>
              <w:rPr>
                <w:rFonts w:ascii="Arial" w:hAnsi="Arial" w:eastAsia="SimSun" w:cs="Arial"/>
                <w:sz w:val="21"/>
                <w:szCs w:val="21"/>
                <w:lang w:bidi="ar-AE"/>
              </w:rPr>
              <w:t xml:space="preserve"> suatu laporan yang menegaskan bahwa Perusahaan Proyek telah memenuhi setiap persyaratan-persyaratan dalam ayat [ ] dan ayat [ ] di atas; dan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3"/>
              <w:widowControl w:val="0"/>
              <w:spacing w:after="120"/>
              <w:ind w:left="0"/>
              <w:rPr>
                <w:rFonts w:ascii="Arial" w:hAnsi="Arial" w:eastAsia="SimSun" w:cs="Arial"/>
                <w:b/>
                <w:bCs/>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 xml:space="preserve">Perusahaan Proyek telah menyampaikan pemberitahuan kepada Agen </w:t>
            </w:r>
            <w:r>
              <w:rPr>
                <w:rFonts w:ascii="Arial" w:hAnsi="Arial" w:eastAsia="SimSun" w:cs="Arial"/>
                <w:sz w:val="21"/>
                <w:szCs w:val="21"/>
                <w:lang w:val="en-US" w:bidi="ar-AE"/>
              </w:rPr>
              <w:t>Antarkreditur</w:t>
            </w:r>
            <w:r>
              <w:rPr>
                <w:rFonts w:ascii="Arial" w:hAnsi="Arial" w:eastAsia="SimSun" w:cs="Arial"/>
                <w:sz w:val="21"/>
                <w:szCs w:val="21"/>
                <w:lang w:bidi="ar-AE"/>
              </w:rPr>
              <w:t xml:space="preserve">, yang ditandatangani oleh direktur, yang menyatakan bahwa persyaratan-persyaratan dalam ayat [ ] dan ayat [ ] di atas telah dipenuhi dan Agen </w:t>
            </w:r>
            <w:r>
              <w:rPr>
                <w:rFonts w:ascii="Arial" w:hAnsi="Arial" w:eastAsia="SimSun" w:cs="Arial"/>
                <w:sz w:val="21"/>
                <w:szCs w:val="21"/>
                <w:lang w:val="en-US" w:bidi="ar-AE"/>
              </w:rPr>
              <w:t>Antarkreditur</w:t>
            </w:r>
            <w:r>
              <w:rPr>
                <w:rFonts w:ascii="Arial" w:hAnsi="Arial" w:eastAsia="SimSun" w:cs="Arial"/>
                <w:sz w:val="21"/>
                <w:szCs w:val="21"/>
                <w:lang w:bidi="ar-AE"/>
              </w:rPr>
              <w:t xml:space="preserve"> telah menegaskan penerimaannya atas pemberitahuan tersebut.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ascii="Arial" w:hAnsi="Arial" w:eastAsia="SimSun" w:cs="Arial"/>
                <w:b/>
                <w:sz w:val="21"/>
                <w:szCs w:val="21"/>
                <w:lang w:bidi="ar-AE"/>
              </w:rPr>
            </w:pPr>
            <w:r>
              <w:rPr>
                <w:rFonts w:ascii="Arial" w:hAnsi="Arial" w:eastAsia="SimSun" w:cs="Arial"/>
                <w:b/>
                <w:bCs/>
                <w:sz w:val="21"/>
                <w:szCs w:val="21"/>
                <w:lang w:bidi="ar-AE"/>
              </w:rPr>
              <w:t>[Tanggal Penyelesaian Proyek]/[Tanggal Penyelesaian Finansial] Yang Dijadwalkan</w:t>
            </w:r>
            <w:r>
              <w:rPr>
                <w:rFonts w:ascii="Arial" w:hAnsi="Arial" w:eastAsia="SimSun" w:cs="Arial"/>
                <w:b/>
                <w:sz w:val="21"/>
                <w:szCs w:val="21"/>
                <w:lang w:bidi="ar-AE"/>
              </w:rPr>
              <w:t>:</w:t>
            </w:r>
          </w:p>
        </w:tc>
        <w:tc>
          <w:tcPr>
            <w:tcW w:w="5157" w:type="dxa"/>
          </w:tcPr>
          <w:p>
            <w:pPr>
              <w:pStyle w:val="99"/>
              <w:keepLines/>
              <w:numPr>
                <w:ilvl w:val="0"/>
                <w:numId w:val="0"/>
              </w:numPr>
              <w:spacing w:after="120"/>
              <w:rPr>
                <w:rFonts w:ascii="Arial" w:hAnsi="Arial" w:eastAsia="SimSun" w:cs="Arial"/>
                <w:sz w:val="21"/>
                <w:szCs w:val="21"/>
                <w:lang w:bidi="ar-AE"/>
              </w:rPr>
            </w:pPr>
            <w:r>
              <w:rPr>
                <w:rFonts w:ascii="Arial" w:hAnsi="Arial" w:eastAsia="SimSun" w:cs="Arial"/>
                <w:sz w:val="21"/>
                <w:szCs w:val="21"/>
                <w:lang w:bidi="ar-AE"/>
              </w:rPr>
              <w:t>[</w:t>
            </w:r>
            <w:r>
              <w:rPr>
                <w:rFonts w:ascii="Arial" w:hAnsi="Arial" w:eastAsia="SimSun" w:cs="Arial"/>
                <w:i/>
                <w:iCs/>
                <w:sz w:val="21"/>
                <w:szCs w:val="21"/>
                <w:lang w:bidi="ar-AE"/>
              </w:rPr>
              <w:t>•</w:t>
            </w:r>
            <w:r>
              <w:rPr>
                <w:rFonts w:ascii="Arial" w:hAnsi="Arial" w:eastAsia="SimSun" w:cs="Arial"/>
                <w:sz w:val="21"/>
                <w:szCs w:val="21"/>
                <w:lang w:bidi="ar-A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ascii="Arial" w:hAnsi="Arial" w:eastAsia="SimSun" w:cs="Arial"/>
                <w:b/>
                <w:sz w:val="21"/>
                <w:szCs w:val="21"/>
                <w:lang w:bidi="ar-AE"/>
              </w:rPr>
            </w:pPr>
            <w:r>
              <w:rPr>
                <w:rFonts w:ascii="Arial" w:hAnsi="Arial" w:eastAsia="SimSun" w:cs="Arial"/>
                <w:b/>
                <w:sz w:val="21"/>
                <w:szCs w:val="21"/>
                <w:lang w:bidi="ar-AE"/>
              </w:rPr>
              <w:t xml:space="preserve">Tanggal </w:t>
            </w:r>
            <w:r>
              <w:rPr>
                <w:rFonts w:ascii="Arial" w:hAnsi="Arial" w:eastAsia="SimSun" w:cs="Arial"/>
                <w:b/>
                <w:i/>
                <w:iCs/>
                <w:sz w:val="21"/>
                <w:szCs w:val="21"/>
                <w:lang w:bidi="ar-AE"/>
              </w:rPr>
              <w:t>Longstop</w:t>
            </w:r>
            <w:r>
              <w:rPr>
                <w:rFonts w:ascii="Arial" w:hAnsi="Arial" w:eastAsia="SimSun" w:cs="Arial"/>
                <w:b/>
                <w:sz w:val="21"/>
                <w:szCs w:val="21"/>
                <w:lang w:bidi="ar-AE"/>
              </w:rPr>
              <w:t>:</w:t>
            </w:r>
          </w:p>
        </w:tc>
        <w:tc>
          <w:tcPr>
            <w:tcW w:w="5157" w:type="dxa"/>
          </w:tcPr>
          <w:p>
            <w:pPr>
              <w:pStyle w:val="99"/>
              <w:keepLines/>
              <w:numPr>
                <w:ilvl w:val="0"/>
                <w:numId w:val="0"/>
              </w:numPr>
              <w:spacing w:after="120"/>
              <w:rPr>
                <w:rFonts w:ascii="Arial" w:hAnsi="Arial" w:eastAsia="SimSun" w:cs="Arial"/>
                <w:sz w:val="21"/>
                <w:szCs w:val="21"/>
                <w:lang w:bidi="ar-AE"/>
              </w:rPr>
            </w:pPr>
            <w:r>
              <w:rPr>
                <w:rFonts w:ascii="Arial" w:hAnsi="Arial" w:eastAsia="SimSun" w:cs="Arial"/>
                <w:sz w:val="21"/>
                <w:szCs w:val="21"/>
                <w:lang w:bidi="ar-AE"/>
              </w:rPr>
              <w:t>[</w:t>
            </w:r>
            <w:r>
              <w:rPr>
                <w:rFonts w:ascii="Arial" w:hAnsi="Arial" w:eastAsia="SimSun" w:cs="Arial"/>
                <w:i/>
                <w:iCs/>
                <w:sz w:val="21"/>
                <w:szCs w:val="21"/>
                <w:lang w:bidi="ar-AE"/>
              </w:rPr>
              <w:t>•</w:t>
            </w:r>
            <w:r>
              <w:rPr>
                <w:rFonts w:ascii="Arial" w:hAnsi="Arial" w:eastAsia="SimSun" w:cs="Arial"/>
                <w:sz w:val="21"/>
                <w:szCs w:val="21"/>
                <w:lang w:bidi="ar-AE"/>
              </w:rPr>
              <w:t>]</w:t>
            </w:r>
            <w:r>
              <w:rPr>
                <w:rStyle w:val="25"/>
                <w:rFonts w:ascii="Arial" w:hAnsi="Arial" w:eastAsia="SimSun" w:cs="Arial"/>
                <w:sz w:val="21"/>
                <w:szCs w:val="21"/>
                <w:lang w:bidi="ar-AE"/>
              </w:rPr>
              <w:footnoteReference w:id="42"/>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3"/>
              <w:widowControl w:val="0"/>
              <w:tabs>
                <w:tab w:val="clear" w:pos="766"/>
              </w:tabs>
              <w:spacing w:after="120"/>
              <w:ind w:left="720" w:hanging="720"/>
              <w:rPr>
                <w:rFonts w:hAnsi="Times New Roman" w:eastAsia="SimSun" w:cs="Simplified Arabic"/>
                <w:sz w:val="24"/>
                <w:szCs w:val="24"/>
                <w:lang w:val="zh-CN" w:eastAsia="zh-CN" w:bidi="ar-AE"/>
              </w:rPr>
            </w:pPr>
            <w:r>
              <w:rPr>
                <w:rFonts w:ascii="Arial" w:hAnsi="Arial" w:eastAsia="SimSun" w:cs="Arial"/>
                <w:b/>
                <w:sz w:val="21"/>
                <w:szCs w:val="21"/>
                <w:lang w:bidi="ar-AE"/>
              </w:rPr>
              <w:t>[</w:t>
            </w:r>
            <w:r>
              <w:rPr>
                <w:rFonts w:ascii="Arial" w:hAnsi="Arial" w:eastAsia="SimSun" w:cs="Arial"/>
                <w:b/>
                <w:i/>
                <w:iCs/>
                <w:sz w:val="21"/>
                <w:szCs w:val="21"/>
                <w:lang w:bidi="ar-AE"/>
              </w:rPr>
              <w:t>True-Up</w:t>
            </w:r>
            <w:r>
              <w:rPr>
                <w:rFonts w:ascii="Arial" w:hAnsi="Arial" w:eastAsia="SimSun" w:cs="Arial"/>
                <w:b/>
                <w:i/>
                <w:iCs/>
                <w:sz w:val="21"/>
                <w:szCs w:val="21"/>
                <w:lang w:val="en-US" w:bidi="ar-AE"/>
              </w:rPr>
              <w:t xml:space="preserve"> </w:t>
            </w:r>
            <w:r>
              <w:rPr>
                <w:rFonts w:ascii="Arial" w:hAnsi="Arial" w:eastAsia="SimSun" w:cs="Arial"/>
                <w:b/>
                <w:sz w:val="21"/>
                <w:szCs w:val="21"/>
                <w:lang w:bidi="ar-AE"/>
              </w:rPr>
              <w:t>Ekuitas:</w:t>
            </w:r>
            <w:r>
              <w:rPr>
                <w:rStyle w:val="25"/>
                <w:rFonts w:ascii="Arial" w:hAnsi="Arial" w:eastAsia="SimSun" w:cs="Arial"/>
                <w:b/>
                <w:bCs/>
                <w:sz w:val="21"/>
                <w:szCs w:val="21"/>
                <w:lang w:bidi="ar-AE"/>
              </w:rPr>
              <w:footnoteReference w:id="43"/>
            </w:r>
            <w:r>
              <w:rPr>
                <w:rFonts w:ascii="Arial" w:hAnsi="Arial" w:eastAsia="SimSun" w:cs="Arial"/>
                <w:b/>
                <w:sz w:val="21"/>
                <w:szCs w:val="21"/>
                <w:lang w:bidi="ar-AE"/>
              </w:rPr>
              <w:t>]</w:t>
            </w:r>
            <w:r>
              <w:rPr>
                <w:rFonts w:hAnsi="Times New Roman" w:eastAsia="SimSun" w:cs="Simplified Arabic"/>
                <w:sz w:val="24"/>
                <w:szCs w:val="24"/>
                <w:lang w:val="zh-CN" w:eastAsia="zh-CN" w:bidi="ar-AE"/>
              </w:rPr>
              <w:t xml:space="preserve"> </w:t>
            </w:r>
          </w:p>
        </w:tc>
        <w:tc>
          <w:tcPr>
            <w:tcW w:w="5157" w:type="dxa"/>
          </w:tcPr>
          <w:p>
            <w:pPr>
              <w:pStyle w:val="101"/>
              <w:rPr>
                <w:rFonts w:ascii="Arial" w:hAnsi="Arial" w:eastAsia="SimSun" w:cs="Arial"/>
                <w:sz w:val="21"/>
                <w:szCs w:val="21"/>
                <w:lang w:bidi="ar-AE"/>
              </w:rPr>
            </w:pPr>
            <w:r>
              <w:rPr>
                <w:rFonts w:ascii="Arial" w:hAnsi="Arial" w:eastAsia="SimSun" w:cs="Arial"/>
                <w:sz w:val="21"/>
                <w:szCs w:val="21"/>
                <w:lang w:bidi="ar-AE"/>
              </w:rPr>
              <w:t>[Pada Tanggal Penyelesaian Finansial, jika dana-dana yang tersedia berdasarkan [Fasilitas-fasilitas]</w:t>
            </w:r>
            <w:r>
              <w:rPr>
                <w:rStyle w:val="25"/>
                <w:rFonts w:ascii="Arial" w:hAnsi="Arial" w:eastAsia="SimSun" w:cs="Arial"/>
                <w:b/>
                <w:sz w:val="21"/>
                <w:szCs w:val="21"/>
                <w:lang w:bidi="ar-AE"/>
              </w:rPr>
              <w:footnoteReference w:id="44"/>
            </w:r>
            <w:r>
              <w:rPr>
                <w:rFonts w:ascii="Arial" w:hAnsi="Arial" w:eastAsia="SimSun" w:cs="Arial"/>
                <w:sz w:val="21"/>
                <w:szCs w:val="21"/>
                <w:lang w:bidi="ar-AE"/>
              </w:rPr>
              <w:t xml:space="preserve"> melebihi sisa Biaya-biaya Proyek yang belum dib</w:t>
            </w:r>
            <w:r>
              <w:rPr>
                <w:rFonts w:ascii="Arial" w:hAnsi="Arial" w:eastAsia="SimSun" w:cs="Arial"/>
                <w:sz w:val="21"/>
                <w:szCs w:val="21"/>
                <w:lang w:val="en-US" w:bidi="ar-AE"/>
              </w:rPr>
              <w:t xml:space="preserve">ayar </w:t>
            </w:r>
            <w:r>
              <w:rPr>
                <w:rFonts w:ascii="Arial" w:hAnsi="Arial" w:eastAsia="SimSun" w:cs="Arial"/>
                <w:sz w:val="21"/>
                <w:szCs w:val="21"/>
                <w:lang w:bidi="ar-AE"/>
              </w:rPr>
              <w:t>[sebagaimana di</w:t>
            </w:r>
            <w:r>
              <w:rPr>
                <w:rFonts w:ascii="Arial" w:hAnsi="Arial" w:eastAsia="SimSun" w:cs="Arial"/>
                <w:sz w:val="21"/>
                <w:szCs w:val="21"/>
                <w:lang w:val="en-US" w:bidi="ar-AE"/>
              </w:rPr>
              <w:t xml:space="preserve">nyatakan </w:t>
            </w:r>
            <w:r>
              <w:rPr>
                <w:rFonts w:ascii="Arial" w:hAnsi="Arial" w:eastAsia="SimSun" w:cs="Arial"/>
                <w:sz w:val="21"/>
                <w:szCs w:val="21"/>
                <w:lang w:bidi="ar-AE"/>
              </w:rPr>
              <w:t xml:space="preserve">oleh Penasihat Teknis], maka Perusahaan Proyek dapat menggunakan </w:t>
            </w:r>
            <w:r>
              <w:rPr>
                <w:rFonts w:ascii="Arial" w:hAnsi="Arial" w:eastAsia="SimSun" w:cs="Arial"/>
                <w:sz w:val="21"/>
                <w:szCs w:val="21"/>
                <w:lang w:val="en-US" w:bidi="ar-AE"/>
              </w:rPr>
              <w:t>ke</w:t>
            </w:r>
            <w:r>
              <w:rPr>
                <w:rFonts w:ascii="Arial" w:hAnsi="Arial" w:eastAsia="SimSun" w:cs="Arial"/>
                <w:sz w:val="21"/>
                <w:szCs w:val="21"/>
                <w:lang w:bidi="ar-AE"/>
              </w:rPr>
              <w:t>lebih</w:t>
            </w:r>
            <w:r>
              <w:rPr>
                <w:rFonts w:ascii="Arial" w:hAnsi="Arial" w:eastAsia="SimSun" w:cs="Arial"/>
                <w:sz w:val="21"/>
                <w:szCs w:val="21"/>
                <w:lang w:val="en-US" w:bidi="ar-AE"/>
              </w:rPr>
              <w:t xml:space="preserve">an </w:t>
            </w:r>
            <w:r>
              <w:rPr>
                <w:rFonts w:ascii="Arial" w:hAnsi="Arial" w:eastAsia="SimSun" w:cs="Arial"/>
                <w:sz w:val="21"/>
                <w:szCs w:val="21"/>
                <w:lang w:bidi="ar-AE"/>
              </w:rPr>
              <w:t>bagian</w:t>
            </w:r>
            <w:r>
              <w:rPr>
                <w:rFonts w:ascii="Arial" w:hAnsi="Arial" w:eastAsia="SimSun" w:cs="Arial"/>
                <w:sz w:val="21"/>
                <w:szCs w:val="21"/>
                <w:lang w:val="en-US" w:bidi="ar-AE"/>
              </w:rPr>
              <w:t xml:space="preserve"> </w:t>
            </w:r>
            <w:r>
              <w:rPr>
                <w:rFonts w:ascii="Arial" w:hAnsi="Arial" w:eastAsia="SimSun" w:cs="Arial"/>
                <w:sz w:val="21"/>
                <w:szCs w:val="21"/>
                <w:lang w:bidi="ar-AE"/>
              </w:rPr>
              <w:t>dari penggunaan akhir tersebut untuk me</w:t>
            </w:r>
            <w:r>
              <w:rPr>
                <w:rFonts w:ascii="Arial" w:hAnsi="Arial" w:eastAsia="SimSun" w:cs="Arial"/>
                <w:sz w:val="21"/>
                <w:szCs w:val="21"/>
                <w:lang w:val="en-US" w:bidi="ar-AE"/>
              </w:rPr>
              <w:t xml:space="preserve">lakukan </w:t>
            </w:r>
            <w:r>
              <w:rPr>
                <w:rFonts w:ascii="Arial" w:hAnsi="Arial" w:eastAsia="SimSun" w:cs="Arial"/>
                <w:sz w:val="21"/>
                <w:szCs w:val="21"/>
                <w:lang w:bidi="ar-AE"/>
              </w:rPr>
              <w:t>pembayaran kembali sebagian atas pinjaman-pinjaman pemegang saham yang terutang atau untuk mengumumkan suatu dividen atau distribusi khusus, dalam setiap hal, dalam jumlah kelebihan tersebut, dengan ketentuan bahwa pada saat dan sesegera mungkin setelah penggunaan terkait dan membuat pembayaran kembali atau pengumuman dividen atau distribusi tersebut: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1"/>
              <w:rPr>
                <w:rFonts w:ascii="Arial" w:hAnsi="Arial" w:eastAsia="SimSun" w:cs="Arial"/>
                <w:sz w:val="21"/>
                <w:szCs w:val="21"/>
                <w:lang w:bidi="ar-AE"/>
              </w:rPr>
            </w:pPr>
          </w:p>
        </w:tc>
        <w:tc>
          <w:tcPr>
            <w:tcW w:w="5157" w:type="dxa"/>
          </w:tcPr>
          <w:p>
            <w:pPr>
              <w:pStyle w:val="99"/>
              <w:widowControl w:val="0"/>
              <w:tabs>
                <w:tab w:val="clear" w:pos="720"/>
              </w:tabs>
              <w:spacing w:after="120"/>
              <w:rPr>
                <w:rFonts w:ascii="Arial" w:hAnsi="Arial" w:eastAsia="SimSun" w:cs="Arial"/>
                <w:sz w:val="21"/>
                <w:szCs w:val="21"/>
                <w:lang w:bidi="ar-AE"/>
              </w:rPr>
            </w:pPr>
            <w:r>
              <w:rPr>
                <w:rFonts w:ascii="Arial" w:hAnsi="Arial" w:eastAsia="SimSun" w:cs="Arial"/>
                <w:sz w:val="21"/>
                <w:szCs w:val="21"/>
                <w:lang w:bidi="ar-AE"/>
              </w:rPr>
              <w:t>[Proyeksi DSCR] untuk setiap Tanggal Perhitungan yang terjadi setelah penggunaan tersebut diproyeksikan tidak kurang dari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1"/>
              <w:rPr>
                <w:rFonts w:ascii="Arial" w:hAnsi="Arial" w:eastAsia="SimSun" w:cs="Arial"/>
                <w:sz w:val="21"/>
                <w:szCs w:val="21"/>
                <w:lang w:bidi="ar-AE"/>
              </w:rPr>
            </w:pPr>
          </w:p>
        </w:tc>
        <w:tc>
          <w:tcPr>
            <w:tcW w:w="5157" w:type="dxa"/>
          </w:tcPr>
          <w:p>
            <w:pPr>
              <w:pStyle w:val="99"/>
              <w:widowControl w:val="0"/>
              <w:numPr>
                <w:ilvl w:val="4"/>
                <w:numId w:val="17"/>
              </w:numPr>
              <w:tabs>
                <w:tab w:val="clear" w:pos="720"/>
              </w:tabs>
              <w:spacing w:after="120"/>
              <w:rPr>
                <w:rFonts w:ascii="Arial" w:hAnsi="Arial" w:eastAsia="SimSun" w:cs="Arial"/>
                <w:sz w:val="21"/>
                <w:szCs w:val="21"/>
                <w:lang w:bidi="ar-AE"/>
              </w:rPr>
            </w:pPr>
            <w:r>
              <w:rPr>
                <w:rFonts w:ascii="Arial" w:hAnsi="Arial" w:eastAsia="SimSun" w:cs="Arial"/>
                <w:sz w:val="21"/>
                <w:szCs w:val="21"/>
                <w:lang w:bidi="ar-AE"/>
              </w:rPr>
              <w:t>[</w:t>
            </w:r>
            <w:bookmarkStart w:id="19" w:name="_9kMHG5YVt39A67Hdxpw"/>
            <w:r>
              <w:rPr>
                <w:rFonts w:ascii="Arial" w:hAnsi="Arial" w:eastAsia="SimSun" w:cs="Arial"/>
                <w:sz w:val="21"/>
                <w:szCs w:val="21"/>
                <w:lang w:bidi="ar-AE"/>
              </w:rPr>
              <w:t>LLCR</w:t>
            </w:r>
            <w:bookmarkEnd w:id="19"/>
            <w:r>
              <w:rPr>
                <w:rFonts w:ascii="Arial" w:hAnsi="Arial" w:eastAsia="SimSun" w:cs="Arial"/>
                <w:sz w:val="21"/>
                <w:szCs w:val="21"/>
                <w:lang w:bidi="ar-AE"/>
              </w:rPr>
              <w:t xml:space="preserve"> tidak kurang dari [</w:t>
            </w:r>
            <w:bookmarkStart w:id="20" w:name="_9kMPM6YUv89569A"/>
            <w:bookmarkStart w:id="21" w:name="_9kMPO5YVt8956DH"/>
            <w:r>
              <w:rPr>
                <w:rFonts w:ascii="Arial" w:hAnsi="Arial" w:eastAsia="SimSun" w:cs="Arial"/>
                <w:sz w:val="21"/>
                <w:szCs w:val="21"/>
                <w:lang w:bidi="ar-AE"/>
              </w:rPr>
              <w:t>•</w:t>
            </w:r>
            <w:bookmarkEnd w:id="20"/>
            <w:bookmarkEnd w:id="21"/>
            <w:r>
              <w:rPr>
                <w:rFonts w:ascii="Arial" w:hAnsi="Arial" w:eastAsia="SimSun" w:cs="Arial"/>
                <w:sz w:val="21"/>
                <w:szCs w:val="21"/>
                <w:lang w:bidi="ar-A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1"/>
              <w:rPr>
                <w:rFonts w:ascii="Arial" w:hAnsi="Arial" w:eastAsia="SimSun" w:cs="Arial"/>
                <w:sz w:val="21"/>
                <w:szCs w:val="21"/>
                <w:lang w:bidi="ar-AE"/>
              </w:rPr>
            </w:pPr>
          </w:p>
        </w:tc>
        <w:tc>
          <w:tcPr>
            <w:tcW w:w="5157" w:type="dxa"/>
          </w:tcPr>
          <w:p>
            <w:pPr>
              <w:pStyle w:val="99"/>
              <w:widowControl w:val="0"/>
              <w:numPr>
                <w:ilvl w:val="4"/>
                <w:numId w:val="18"/>
              </w:numPr>
              <w:tabs>
                <w:tab w:val="clear" w:pos="720"/>
              </w:tabs>
              <w:spacing w:after="120"/>
              <w:rPr>
                <w:rFonts w:ascii="Arial" w:hAnsi="Arial" w:eastAsia="SimSun" w:cs="Arial"/>
                <w:sz w:val="21"/>
                <w:szCs w:val="21"/>
                <w:lang w:bidi="ar-AE"/>
              </w:rPr>
            </w:pPr>
            <w:r>
              <w:rPr>
                <w:rFonts w:ascii="Arial" w:hAnsi="Arial" w:eastAsia="SimSun" w:cs="Arial"/>
                <w:sz w:val="21"/>
                <w:szCs w:val="21"/>
                <w:lang w:bidi="ar-AE"/>
              </w:rPr>
              <w:t>Rasio Utang Terhadap Ekuitas tidak lebih besar dari [</w:t>
            </w:r>
            <w:bookmarkStart w:id="22" w:name="_9kMHzE7ZVw9A67AB"/>
            <w:bookmarkStart w:id="23" w:name="_9kMHzG6ZWu9A67EI"/>
            <w:r>
              <w:rPr>
                <w:rFonts w:ascii="Arial" w:hAnsi="Arial" w:eastAsia="SimSun" w:cs="Arial"/>
                <w:sz w:val="21"/>
                <w:szCs w:val="21"/>
                <w:lang w:bidi="ar-AE"/>
              </w:rPr>
              <w:t>•</w:t>
            </w:r>
            <w:bookmarkEnd w:id="22"/>
            <w:bookmarkEnd w:id="23"/>
            <w:r>
              <w:rPr>
                <w:rFonts w:ascii="Arial" w:hAnsi="Arial" w:eastAsia="SimSun" w:cs="Arial"/>
                <w:sz w:val="21"/>
                <w:szCs w:val="21"/>
                <w:lang w:bidi="ar-AE"/>
              </w:rPr>
              <w:t>]; [dan]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1"/>
              <w:rPr>
                <w:rFonts w:ascii="Arial" w:hAnsi="Arial" w:eastAsia="SimSun" w:cs="Arial"/>
                <w:sz w:val="21"/>
                <w:szCs w:val="21"/>
                <w:lang w:bidi="ar-AE"/>
              </w:rPr>
            </w:pPr>
          </w:p>
        </w:tc>
        <w:tc>
          <w:tcPr>
            <w:tcW w:w="5157" w:type="dxa"/>
          </w:tcPr>
          <w:p>
            <w:pPr>
              <w:pStyle w:val="99"/>
              <w:widowControl w:val="0"/>
              <w:numPr>
                <w:ilvl w:val="4"/>
                <w:numId w:val="19"/>
              </w:numPr>
              <w:tabs>
                <w:tab w:val="clear" w:pos="720"/>
              </w:tabs>
              <w:spacing w:after="120"/>
              <w:rPr>
                <w:rFonts w:ascii="Arial" w:hAnsi="Arial" w:eastAsia="SimSun" w:cs="Arial"/>
                <w:sz w:val="21"/>
                <w:szCs w:val="21"/>
                <w:lang w:bidi="ar-AE"/>
              </w:rPr>
            </w:pPr>
            <w:r>
              <w:rPr>
                <w:rFonts w:ascii="Arial" w:hAnsi="Arial" w:eastAsia="SimSun" w:cs="Arial"/>
                <w:sz w:val="21"/>
                <w:szCs w:val="21"/>
                <w:lang w:bidi="ar-AE"/>
              </w:rPr>
              <w:t>tidak ada Cedera Janji yang berlanjut [atau akan terjadi sebagai akibat dari dilakukannya atau pernyataan atas pembayaran kembali, percepatan pelunasan atau dividen atau distribusi][; 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1"/>
              <w:rPr>
                <w:rFonts w:ascii="Arial" w:hAnsi="Arial" w:eastAsia="SimSun" w:cs="Arial"/>
                <w:sz w:val="21"/>
                <w:szCs w:val="21"/>
                <w:lang w:bidi="ar-AE"/>
              </w:rPr>
            </w:pPr>
          </w:p>
        </w:tc>
        <w:tc>
          <w:tcPr>
            <w:tcW w:w="5157" w:type="dxa"/>
          </w:tcPr>
          <w:p>
            <w:pPr>
              <w:pStyle w:val="99"/>
              <w:numPr>
                <w:ilvl w:val="4"/>
                <w:numId w:val="20"/>
              </w:numPr>
              <w:rPr>
                <w:rFonts w:ascii="Arial" w:hAnsi="Arial" w:eastAsia="Times New Roman" w:cs="Arial"/>
                <w:sz w:val="21"/>
                <w:szCs w:val="21"/>
                <w:lang w:bidi="ar-AE"/>
              </w:rPr>
            </w:pPr>
            <w:r>
              <w:rPr>
                <w:rFonts w:ascii="Arial" w:hAnsi="Arial" w:eastAsia="SimSun" w:cs="Arial"/>
                <w:i/>
                <w:iCs/>
                <w:sz w:val="21"/>
                <w:szCs w:val="21"/>
                <w:lang w:bidi="ar-AE"/>
              </w:rPr>
              <w:t xml:space="preserve">Debt Service Reserve Account </w:t>
            </w:r>
            <w:r>
              <w:rPr>
                <w:rFonts w:ascii="Arial" w:hAnsi="Arial" w:eastAsia="SimSun" w:cs="Arial"/>
                <w:sz w:val="21"/>
                <w:szCs w:val="21"/>
                <w:lang w:bidi="ar-AE"/>
              </w:rPr>
              <w:t>dibiayai untuk mencapai jumlah yang disyaratkan saat itu sebagaimana dijelaskan dalam “</w:t>
            </w:r>
            <w:r>
              <w:rPr>
                <w:rFonts w:ascii="Arial" w:hAnsi="Arial" w:eastAsia="SimSun" w:cs="Arial"/>
                <w:i/>
                <w:iCs/>
                <w:sz w:val="21"/>
                <w:szCs w:val="21"/>
                <w:lang w:bidi="ar-AE"/>
              </w:rPr>
              <w:t>Debt Service Reserve Account</w:t>
            </w:r>
            <w:r>
              <w:rPr>
                <w:rFonts w:ascii="Arial" w:hAnsi="Arial" w:eastAsia="SimSun" w:cs="Arial"/>
                <w:sz w:val="21"/>
                <w:szCs w:val="21"/>
                <w:lang w:bidi="ar-AE"/>
              </w:rPr>
              <w:t xml:space="preserve">” di bawah ini [, baik melalui setoran tunai atau dengan Dukungan Kredit Yang Dapat Diterima].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pStyle w:val="101"/>
              <w:rPr>
                <w:rFonts w:ascii="Arial" w:hAnsi="Arial" w:eastAsia="SimSun" w:cs="Arial"/>
                <w:sz w:val="21"/>
                <w:szCs w:val="21"/>
                <w:lang w:bidi="ar-AE"/>
              </w:rPr>
            </w:pPr>
          </w:p>
        </w:tc>
        <w:tc>
          <w:tcPr>
            <w:tcW w:w="5157" w:type="dxa"/>
          </w:tcPr>
          <w:p>
            <w:pPr>
              <w:pStyle w:val="101"/>
              <w:rPr>
                <w:rFonts w:ascii="Arial" w:hAnsi="Arial" w:eastAsia="SimSun" w:cs="Arial"/>
                <w:sz w:val="21"/>
                <w:szCs w:val="21"/>
                <w:lang w:bidi="ar-AE"/>
              </w:rPr>
            </w:pPr>
            <w:r>
              <w:rPr>
                <w:rFonts w:ascii="Arial" w:hAnsi="Arial" w:eastAsia="SimSun" w:cs="Arial"/>
                <w:i/>
                <w:iCs/>
                <w:sz w:val="21"/>
                <w:szCs w:val="21"/>
                <w:lang w:bidi="ar-AE"/>
              </w:rPr>
              <w:t xml:space="preserve">True-up </w:t>
            </w:r>
            <w:r>
              <w:rPr>
                <w:rFonts w:ascii="Arial" w:hAnsi="Arial" w:eastAsia="SimSun" w:cs="Arial"/>
                <w:sz w:val="21"/>
                <w:szCs w:val="21"/>
                <w:lang w:bidi="ar-AE"/>
              </w:rPr>
              <w:t>ekuitas yang diatur di atas tidak tunduk pada pemenuhan Pengujian-</w:t>
            </w:r>
            <w:r>
              <w:rPr>
                <w:rFonts w:ascii="Arial" w:hAnsi="Arial" w:eastAsia="SimSun" w:cs="Arial"/>
                <w:sz w:val="21"/>
                <w:szCs w:val="21"/>
                <w:lang w:val="en-US" w:bidi="ar-AE"/>
              </w:rPr>
              <w:t>p</w:t>
            </w:r>
            <w:r>
              <w:rPr>
                <w:rFonts w:ascii="Arial" w:hAnsi="Arial" w:eastAsia="SimSun" w:cs="Arial"/>
                <w:sz w:val="21"/>
                <w:szCs w:val="21"/>
                <w:lang w:bidi="ar-AE"/>
              </w:rPr>
              <w:t>engujian Distribusi.]</w:t>
            </w:r>
          </w:p>
        </w:tc>
      </w:tr>
    </w:tbl>
    <w:p>
      <w:pPr>
        <w:pStyle w:val="63"/>
        <w:rPr>
          <w:lang w:eastAsia="en-US" w:bidi="ar-SA"/>
        </w:rPr>
      </w:pPr>
    </w:p>
    <w:p>
      <w:pPr>
        <w:pStyle w:val="107"/>
        <w:pageBreakBefore/>
        <w:spacing w:after="120"/>
        <w:rPr>
          <w:rFonts w:ascii="Arial" w:hAnsi="Arial" w:cs="Arial"/>
          <w:sz w:val="21"/>
          <w:szCs w:val="21"/>
        </w:rPr>
      </w:pPr>
      <w:bookmarkStart w:id="24" w:name="_Toc74860671"/>
      <w:bookmarkStart w:id="25" w:name="_Toc74557525"/>
      <w:r>
        <w:rPr>
          <w:rFonts w:ascii="Arial" w:hAnsi="Arial" w:cs="Arial"/>
          <w:sz w:val="21"/>
          <w:szCs w:val="21"/>
        </w:rPr>
        <w:t>FASILITAS-FASILITAS</w:t>
      </w:r>
      <w:bookmarkEnd w:id="24"/>
      <w:bookmarkEnd w:id="25"/>
    </w:p>
    <w:p>
      <w:pPr>
        <w:pStyle w:val="105"/>
        <w:spacing w:after="120"/>
        <w:rPr>
          <w:rFonts w:ascii="Arial" w:hAnsi="Arial" w:cs="Arial"/>
          <w:sz w:val="21"/>
          <w:szCs w:val="21"/>
        </w:rPr>
      </w:pPr>
      <w:bookmarkStart w:id="26" w:name="_Ref37767467"/>
      <w:bookmarkStart w:id="27" w:name="_Toc74557526"/>
      <w:bookmarkStart w:id="28" w:name="_Toc74860672"/>
      <w:r>
        <w:rPr>
          <w:rFonts w:ascii="Arial" w:hAnsi="Arial" w:eastAsia="Times New Roman" w:cs="Arial"/>
          <w:iCs/>
          <w:sz w:val="21"/>
          <w:szCs w:val="21"/>
        </w:rPr>
        <w:t>FASILITAS PINJAMAN BERJANGKA A</w:t>
      </w:r>
      <w:r>
        <w:rPr>
          <w:rStyle w:val="25"/>
          <w:rFonts w:ascii="Arial" w:hAnsi="Arial" w:cs="Arial"/>
          <w:sz w:val="21"/>
          <w:szCs w:val="21"/>
        </w:rPr>
        <w:footnoteReference w:id="45"/>
      </w:r>
      <w:bookmarkEnd w:id="26"/>
      <w:bookmarkEnd w:id="27"/>
      <w:bookmarkEnd w:id="28"/>
    </w:p>
    <w:tbl>
      <w:tblPr>
        <w:tblStyle w:val="17"/>
        <w:tblW w:w="4975" w:type="pct"/>
        <w:tblInd w:w="-90" w:type="dxa"/>
        <w:tblLayout w:type="autofit"/>
        <w:tblCellMar>
          <w:top w:w="0" w:type="dxa"/>
          <w:left w:w="108" w:type="dxa"/>
          <w:bottom w:w="0" w:type="dxa"/>
          <w:right w:w="108" w:type="dxa"/>
        </w:tblCellMar>
      </w:tblPr>
      <w:tblGrid>
        <w:gridCol w:w="3597"/>
        <w:gridCol w:w="5242"/>
      </w:tblGrid>
      <w:tr>
        <w:tblPrEx>
          <w:tblCellMar>
            <w:top w:w="0" w:type="dxa"/>
            <w:left w:w="108" w:type="dxa"/>
            <w:bottom w:w="0" w:type="dxa"/>
            <w:right w:w="108" w:type="dxa"/>
          </w:tblCellMar>
        </w:tblPrEx>
        <w:trPr>
          <w:cantSplit/>
        </w:trPr>
        <w:tc>
          <w:tcPr>
            <w:tcW w:w="2035" w:type="pct"/>
          </w:tcPr>
          <w:p>
            <w:pPr>
              <w:pStyle w:val="103"/>
              <w:tabs>
                <w:tab w:val="clear" w:pos="766"/>
              </w:tabs>
              <w:spacing w:after="120"/>
              <w:ind w:left="720" w:hanging="720"/>
              <w:rPr>
                <w:rFonts w:ascii="Arial" w:hAnsi="Arial" w:cs="Arial"/>
                <w:b/>
                <w:sz w:val="21"/>
                <w:szCs w:val="21"/>
              </w:rPr>
            </w:pPr>
            <w:bookmarkStart w:id="29" w:name="_Ref37767463"/>
            <w:r>
              <w:rPr>
                <w:rFonts w:ascii="Arial" w:hAnsi="Arial" w:cs="Arial"/>
                <w:b/>
                <w:sz w:val="21"/>
                <w:szCs w:val="21"/>
              </w:rPr>
              <w:t>Fasilitas:</w:t>
            </w:r>
            <w:bookmarkEnd w:id="29"/>
          </w:p>
        </w:tc>
        <w:tc>
          <w:tcPr>
            <w:tcW w:w="2965" w:type="pct"/>
          </w:tcPr>
          <w:p>
            <w:pPr>
              <w:pStyle w:val="3"/>
              <w:widowControl w:val="0"/>
              <w:spacing w:after="120"/>
              <w:ind w:left="0"/>
              <w:rPr>
                <w:rFonts w:ascii="Arial" w:hAnsi="Arial" w:cs="Arial"/>
                <w:sz w:val="21"/>
                <w:szCs w:val="21"/>
              </w:rPr>
            </w:pPr>
            <w:r>
              <w:rPr>
                <w:rFonts w:ascii="Arial" w:hAnsi="Arial" w:cs="Arial"/>
                <w:sz w:val="21"/>
                <w:szCs w:val="21"/>
              </w:rPr>
              <w:t>Fasilitas pinjaman berjangka.</w:t>
            </w:r>
          </w:p>
        </w:tc>
      </w:tr>
      <w:tr>
        <w:tblPrEx>
          <w:tblCellMar>
            <w:top w:w="0" w:type="dxa"/>
            <w:left w:w="108" w:type="dxa"/>
            <w:bottom w:w="0" w:type="dxa"/>
            <w:right w:w="108" w:type="dxa"/>
          </w:tblCellMar>
        </w:tblPrEx>
        <w:trPr>
          <w:cantSplit/>
        </w:trPr>
        <w:tc>
          <w:tcPr>
            <w:tcW w:w="2035"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Jumlah:</w:t>
            </w:r>
          </w:p>
        </w:tc>
        <w:tc>
          <w:tcPr>
            <w:tcW w:w="2965" w:type="pct"/>
          </w:tcPr>
          <w:p>
            <w:pPr>
              <w:pStyle w:val="3"/>
              <w:widowControl w:val="0"/>
              <w:spacing w:after="120"/>
              <w:ind w:left="0"/>
              <w:rPr>
                <w:rFonts w:ascii="Arial" w:hAnsi="Arial" w:cs="Arial"/>
                <w:sz w:val="21"/>
                <w:szCs w:val="21"/>
              </w:rPr>
            </w:pPr>
            <w:r>
              <w:rPr>
                <w:rFonts w:ascii="Arial" w:hAnsi="Arial" w:cs="Arial"/>
                <w:sz w:val="21"/>
                <w:szCs w:val="21"/>
              </w:rPr>
              <w:t>[</w:t>
            </w:r>
            <w:r>
              <w:rPr>
                <w:rFonts w:ascii="Arial" w:hAnsi="Arial" w:cs="Arial"/>
                <w:i/>
                <w:sz w:val="21"/>
                <w:szCs w:val="21"/>
              </w:rPr>
              <w:t>Masukkan mata uang dan jumlah fasilitas berjangka</w:t>
            </w:r>
            <w:r>
              <w:rPr>
                <w:rFonts w:ascii="Arial" w:hAnsi="Arial" w:cs="Arial"/>
                <w:sz w:val="21"/>
                <w:szCs w:val="21"/>
              </w:rPr>
              <w:t>].</w:t>
            </w:r>
          </w:p>
        </w:tc>
      </w:tr>
      <w:tr>
        <w:tblPrEx>
          <w:tblCellMar>
            <w:top w:w="0" w:type="dxa"/>
            <w:left w:w="108" w:type="dxa"/>
            <w:bottom w:w="0" w:type="dxa"/>
            <w:right w:w="108" w:type="dxa"/>
          </w:tblCellMar>
        </w:tblPrEx>
        <w:trPr>
          <w:cantSplit/>
        </w:trPr>
        <w:tc>
          <w:tcPr>
            <w:tcW w:w="2035"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Margin:</w:t>
            </w:r>
          </w:p>
        </w:tc>
        <w:tc>
          <w:tcPr>
            <w:tcW w:w="2965" w:type="pct"/>
          </w:tcPr>
          <w:p>
            <w:pPr>
              <w:pStyle w:val="99"/>
              <w:tabs>
                <w:tab w:val="clear" w:pos="720"/>
              </w:tabs>
              <w:spacing w:after="120"/>
              <w:rPr>
                <w:rFonts w:ascii="Arial" w:hAnsi="Arial" w:cs="Arial"/>
                <w:sz w:val="21"/>
                <w:szCs w:val="21"/>
              </w:rPr>
            </w:pPr>
            <w:r>
              <w:rPr>
                <w:rFonts w:ascii="Arial" w:hAnsi="Arial" w:cs="Arial"/>
                <w:sz w:val="21"/>
                <w:szCs w:val="21"/>
              </w:rPr>
              <w:t>Setiap saat sebelum [Tanggal Penyelesaian Finansial] / Tanggal Penyelesaian Proyek, sebesar [●]% per tahun.</w:t>
            </w:r>
          </w:p>
        </w:tc>
      </w:tr>
      <w:tr>
        <w:tblPrEx>
          <w:tblCellMar>
            <w:top w:w="0" w:type="dxa"/>
            <w:left w:w="108" w:type="dxa"/>
            <w:bottom w:w="0" w:type="dxa"/>
            <w:right w:w="108" w:type="dxa"/>
          </w:tblCellMar>
        </w:tblPrEx>
        <w:trPr>
          <w:cantSplit/>
        </w:trPr>
        <w:tc>
          <w:tcPr>
            <w:tcW w:w="2035" w:type="pct"/>
          </w:tcPr>
          <w:p>
            <w:pPr>
              <w:pStyle w:val="103"/>
              <w:numPr>
                <w:ilvl w:val="0"/>
                <w:numId w:val="0"/>
              </w:numPr>
              <w:tabs>
                <w:tab w:val="clear" w:pos="766"/>
              </w:tabs>
              <w:spacing w:after="120"/>
              <w:rPr>
                <w:rFonts w:ascii="Arial" w:hAnsi="Arial" w:cs="Arial"/>
                <w:b/>
                <w:sz w:val="21"/>
                <w:szCs w:val="21"/>
              </w:rPr>
            </w:pPr>
          </w:p>
        </w:tc>
        <w:tc>
          <w:tcPr>
            <w:tcW w:w="2965" w:type="pct"/>
          </w:tcPr>
          <w:p>
            <w:pPr>
              <w:pStyle w:val="99"/>
              <w:tabs>
                <w:tab w:val="clear" w:pos="720"/>
              </w:tabs>
              <w:spacing w:after="120"/>
              <w:rPr>
                <w:rFonts w:ascii="Arial" w:hAnsi="Arial" w:cs="Arial"/>
                <w:sz w:val="21"/>
                <w:szCs w:val="21"/>
              </w:rPr>
            </w:pPr>
            <w:r>
              <w:rPr>
                <w:rFonts w:ascii="Arial" w:hAnsi="Arial" w:cs="Arial"/>
                <w:sz w:val="21"/>
                <w:szCs w:val="21"/>
              </w:rPr>
              <w:t>Setiap saat pada atau setelah [Tanggal Penyelesaian Finansial] / Tanggal Penyelesaian Proyek, sebesar [●]% per tahun.</w:t>
            </w:r>
          </w:p>
        </w:tc>
      </w:tr>
      <w:tr>
        <w:tblPrEx>
          <w:tblCellMar>
            <w:top w:w="0" w:type="dxa"/>
            <w:left w:w="108" w:type="dxa"/>
            <w:bottom w:w="0" w:type="dxa"/>
            <w:right w:w="108" w:type="dxa"/>
          </w:tblCellMar>
        </w:tblPrEx>
        <w:trPr>
          <w:cantSplit/>
        </w:trPr>
        <w:tc>
          <w:tcPr>
            <w:tcW w:w="2035"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Suku Bunga:</w:t>
            </w:r>
          </w:p>
        </w:tc>
        <w:tc>
          <w:tcPr>
            <w:tcW w:w="2965" w:type="pct"/>
          </w:tcPr>
          <w:p>
            <w:pPr>
              <w:pStyle w:val="99"/>
              <w:tabs>
                <w:tab w:val="clear" w:pos="720"/>
              </w:tabs>
              <w:spacing w:after="120"/>
              <w:rPr>
                <w:rFonts w:ascii="Arial" w:hAnsi="Arial" w:cs="Arial"/>
                <w:sz w:val="21"/>
                <w:szCs w:val="21"/>
                <w:lang w:eastAsia="en-GB"/>
              </w:rPr>
            </w:pPr>
            <w:r>
              <w:rPr>
                <w:rFonts w:ascii="Arial" w:hAnsi="Arial" w:cs="Arial"/>
                <w:sz w:val="21"/>
                <w:szCs w:val="21"/>
                <w:lang w:eastAsia="en-GB"/>
              </w:rPr>
              <w:t xml:space="preserve">Margin yang berlaku </w:t>
            </w:r>
            <w:r>
              <w:rPr>
                <w:rFonts w:ascii="Arial" w:hAnsi="Arial" w:cs="Arial"/>
                <w:i/>
                <w:sz w:val="21"/>
                <w:szCs w:val="21"/>
                <w:lang w:eastAsia="en-GB"/>
              </w:rPr>
              <w:t xml:space="preserve">ditambah </w:t>
            </w:r>
            <w:r>
              <w:rPr>
                <w:rFonts w:ascii="Arial" w:hAnsi="Arial" w:cs="Arial"/>
                <w:iCs/>
                <w:sz w:val="21"/>
                <w:szCs w:val="21"/>
                <w:lang w:eastAsia="en-GB"/>
              </w:rPr>
              <w:t>[enam (6)]-bulan</w:t>
            </w:r>
            <w:r>
              <w:rPr>
                <w:rFonts w:ascii="Arial" w:hAnsi="Arial" w:cs="Arial"/>
                <w:sz w:val="21"/>
                <w:szCs w:val="21"/>
                <w:lang w:eastAsia="en-GB"/>
              </w:rPr>
              <w:t xml:space="preserve"> (atau setiap periode lainnya yang disepakati antara Debitur dan Agen </w:t>
            </w:r>
            <w:r>
              <w:rPr>
                <w:rFonts w:ascii="Arial" w:hAnsi="Arial" w:cs="Arial"/>
                <w:sz w:val="21"/>
                <w:szCs w:val="21"/>
                <w:lang w:val="en-US" w:eastAsia="en-GB"/>
              </w:rPr>
              <w:t>Antarkreditur</w:t>
            </w:r>
            <w:r>
              <w:rPr>
                <w:rFonts w:ascii="Arial" w:hAnsi="Arial" w:cs="Arial"/>
                <w:sz w:val="21"/>
                <w:szCs w:val="21"/>
                <w:lang w:eastAsia="en-GB"/>
              </w:rPr>
              <w:t>) [</w:t>
            </w:r>
            <w:r>
              <w:rPr>
                <w:rFonts w:ascii="Arial" w:hAnsi="Arial" w:cs="Arial"/>
                <w:i/>
                <w:iCs/>
                <w:sz w:val="21"/>
                <w:szCs w:val="21"/>
                <w:lang w:eastAsia="en-GB"/>
              </w:rPr>
              <w:t>masukkan tolok ukur yang berlaku dan opsi-opsi alternatif (</w:t>
            </w:r>
            <w:r>
              <w:rPr>
                <w:rFonts w:ascii="Arial" w:hAnsi="Arial" w:cs="Arial"/>
                <w:iCs/>
                <w:sz w:val="21"/>
                <w:szCs w:val="21"/>
                <w:lang w:eastAsia="en-GB"/>
              </w:rPr>
              <w:t>fallback</w:t>
            </w:r>
            <w:r>
              <w:rPr>
                <w:rFonts w:ascii="Arial" w:hAnsi="Arial" w:cs="Arial"/>
                <w:i/>
                <w:iCs/>
                <w:sz w:val="21"/>
                <w:szCs w:val="21"/>
                <w:lang w:eastAsia="en-GB"/>
              </w:rPr>
              <w:t>) apapun</w:t>
            </w:r>
            <w:r>
              <w:rPr>
                <w:rFonts w:ascii="Arial" w:hAnsi="Arial" w:cs="Arial"/>
                <w:sz w:val="21"/>
                <w:szCs w:val="21"/>
                <w:lang w:eastAsia="en-GB"/>
              </w:rPr>
              <w:t>]</w:t>
            </w:r>
            <w:r>
              <w:rPr>
                <w:rStyle w:val="25"/>
                <w:rFonts w:ascii="Arial" w:hAnsi="Arial" w:cs="Arial"/>
                <w:sz w:val="21"/>
                <w:szCs w:val="21"/>
                <w:lang w:eastAsia="en-GB"/>
              </w:rPr>
              <w:footnoteReference w:id="46"/>
            </w:r>
            <w:r>
              <w:rPr>
                <w:rFonts w:ascii="Arial" w:hAnsi="Arial" w:cs="Arial"/>
                <w:sz w:val="21"/>
                <w:szCs w:val="21"/>
                <w:lang w:eastAsia="en-GB"/>
              </w:rPr>
              <w:t xml:space="preserve"> yang dihitung berdasarkan</w:t>
            </w:r>
            <w:r>
              <w:rPr>
                <w:rFonts w:ascii="Arial" w:hAnsi="Arial" w:cs="Arial"/>
                <w:sz w:val="21"/>
                <w:szCs w:val="21"/>
              </w:rPr>
              <w:t xml:space="preserve"> jumlah hari sebenarnya yang telah berlalu pada setiap Periode Bunga dan dalam waktu satu tahun yang terdiri dari [360/365]</w:t>
            </w:r>
            <w:r>
              <w:rPr>
                <w:rStyle w:val="25"/>
                <w:rFonts w:ascii="Arial" w:hAnsi="Arial" w:cs="Arial"/>
                <w:sz w:val="21"/>
                <w:szCs w:val="21"/>
              </w:rPr>
              <w:footnoteReference w:id="47"/>
            </w:r>
            <w:r>
              <w:rPr>
                <w:rFonts w:ascii="Arial" w:hAnsi="Arial" w:cs="Arial"/>
                <w:sz w:val="21"/>
                <w:szCs w:val="21"/>
              </w:rPr>
              <w:t xml:space="preserve"> hari</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35" w:type="pct"/>
          </w:tcPr>
          <w:p>
            <w:pPr>
              <w:pStyle w:val="103"/>
              <w:numPr>
                <w:ilvl w:val="0"/>
                <w:numId w:val="0"/>
              </w:numPr>
              <w:tabs>
                <w:tab w:val="clear" w:pos="766"/>
              </w:tabs>
              <w:spacing w:after="120"/>
              <w:ind w:left="3954" w:hanging="624"/>
              <w:rPr>
                <w:rFonts w:ascii="Arial" w:hAnsi="Arial" w:cs="Arial"/>
                <w:b/>
                <w:sz w:val="21"/>
                <w:szCs w:val="21"/>
              </w:rPr>
            </w:pPr>
          </w:p>
        </w:tc>
        <w:tc>
          <w:tcPr>
            <w:tcW w:w="2965" w:type="pct"/>
          </w:tcPr>
          <w:p>
            <w:pPr>
              <w:pStyle w:val="99"/>
              <w:tabs>
                <w:tab w:val="clear" w:pos="720"/>
              </w:tabs>
              <w:spacing w:after="120"/>
              <w:rPr>
                <w:rFonts w:ascii="Arial" w:hAnsi="Arial" w:cs="Arial"/>
                <w:sz w:val="21"/>
                <w:szCs w:val="21"/>
                <w:lang w:eastAsia="en-GB"/>
              </w:rPr>
            </w:pPr>
            <w:r>
              <w:rPr>
                <w:rFonts w:ascii="Arial" w:hAnsi="Arial" w:cs="Arial"/>
                <w:sz w:val="21"/>
                <w:szCs w:val="21"/>
              </w:rPr>
              <w:t>[Bunga selama konstruksi (yang merupakan bunga yang bertambah dan harus dibayar pada tanggal-tanggal pembayaran bunga sebelum tanggal pembayaran kembali pertama atas Fasilitas Pinjaman Berjangka A) [merupakan Biaya Proyek] / [akan dikapitalisasi].]</w:t>
            </w:r>
            <w:r>
              <w:rPr>
                <w:rStyle w:val="25"/>
                <w:rFonts w:ascii="Arial" w:hAnsi="Arial" w:cs="Arial"/>
                <w:sz w:val="21"/>
                <w:szCs w:val="21"/>
              </w:rPr>
              <w:footnoteReference w:id="48"/>
            </w:r>
          </w:p>
        </w:tc>
      </w:tr>
      <w:tr>
        <w:tblPrEx>
          <w:tblCellMar>
            <w:top w:w="0" w:type="dxa"/>
            <w:left w:w="108" w:type="dxa"/>
            <w:bottom w:w="0" w:type="dxa"/>
            <w:right w:w="108" w:type="dxa"/>
          </w:tblCellMar>
        </w:tblPrEx>
        <w:trPr>
          <w:cantSplit/>
        </w:trPr>
        <w:tc>
          <w:tcPr>
            <w:tcW w:w="2035"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Periode Bunga:</w:t>
            </w:r>
            <w:bookmarkStart w:id="30" w:name="_9kR3WTr6734BJII"/>
            <w:bookmarkStart w:id="31" w:name="_9kP4WSt67347CFI"/>
            <w:r>
              <w:rPr>
                <w:rStyle w:val="25"/>
                <w:rFonts w:ascii="Arial" w:hAnsi="Arial" w:cs="Arial"/>
                <w:b/>
                <w:bCs/>
                <w:sz w:val="21"/>
                <w:szCs w:val="21"/>
              </w:rPr>
              <w:footnoteReference w:id="49"/>
            </w:r>
            <w:bookmarkEnd w:id="30"/>
            <w:bookmarkEnd w:id="31"/>
          </w:p>
        </w:tc>
        <w:tc>
          <w:tcPr>
            <w:tcW w:w="2965" w:type="pct"/>
          </w:tcPr>
          <w:p>
            <w:pPr>
              <w:pStyle w:val="3"/>
              <w:widowControl w:val="0"/>
              <w:spacing w:after="120"/>
              <w:ind w:left="0"/>
              <w:rPr>
                <w:rFonts w:ascii="Arial" w:hAnsi="Arial" w:cs="Arial"/>
                <w:sz w:val="21"/>
                <w:szCs w:val="21"/>
              </w:rPr>
            </w:pPr>
            <w:r>
              <w:rPr>
                <w:rFonts w:ascii="Arial" w:hAnsi="Arial" w:cs="Arial"/>
                <w:sz w:val="21"/>
                <w:szCs w:val="21"/>
              </w:rPr>
              <w:t xml:space="preserve">[ ] Bulan atau setiap periode lainnya yang disepakati antara Debitur dan Agen </w:t>
            </w:r>
            <w:r>
              <w:rPr>
                <w:rFonts w:ascii="Arial" w:hAnsi="Arial" w:cs="Arial"/>
                <w:sz w:val="21"/>
                <w:szCs w:val="21"/>
                <w:lang w:val="en-US"/>
              </w:rPr>
              <w:t>Antarkreditur</w:t>
            </w:r>
            <w:r>
              <w:rPr>
                <w:rFonts w:ascii="Arial" w:hAnsi="Arial" w:cs="Arial"/>
                <w:sz w:val="21"/>
                <w:szCs w:val="21"/>
              </w:rPr>
              <w:t>.</w:t>
            </w:r>
          </w:p>
        </w:tc>
      </w:tr>
      <w:tr>
        <w:tblPrEx>
          <w:tblCellMar>
            <w:top w:w="0" w:type="dxa"/>
            <w:left w:w="108" w:type="dxa"/>
            <w:bottom w:w="0" w:type="dxa"/>
            <w:right w:w="108" w:type="dxa"/>
          </w:tblCellMar>
        </w:tblPrEx>
        <w:trPr>
          <w:cantSplit/>
        </w:trPr>
        <w:tc>
          <w:tcPr>
            <w:tcW w:w="2035"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Biaya-biaya:</w:t>
            </w:r>
          </w:p>
        </w:tc>
        <w:tc>
          <w:tcPr>
            <w:tcW w:w="2965" w:type="pct"/>
          </w:tcPr>
          <w:p>
            <w:pPr>
              <w:widowControl w:val="0"/>
              <w:spacing w:after="120"/>
              <w:rPr>
                <w:rFonts w:ascii="Arial" w:hAnsi="Arial" w:cs="Arial"/>
                <w:sz w:val="21"/>
                <w:szCs w:val="21"/>
                <w:lang w:eastAsia="en-GB"/>
              </w:rPr>
            </w:pPr>
            <w:r>
              <w:rPr>
                <w:rFonts w:ascii="Arial" w:hAnsi="Arial" w:cs="Arial"/>
                <w:i/>
                <w:sz w:val="21"/>
                <w:szCs w:val="21"/>
                <w:lang w:eastAsia="en-GB"/>
              </w:rPr>
              <w:t>Biaya Komitmen</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35" w:type="pct"/>
          </w:tcPr>
          <w:p>
            <w:pPr>
              <w:widowControl w:val="0"/>
              <w:spacing w:after="120"/>
              <w:rPr>
                <w:rFonts w:ascii="Arial" w:hAnsi="Arial" w:cs="Arial"/>
                <w:i/>
                <w:sz w:val="21"/>
                <w:szCs w:val="21"/>
                <w:lang w:eastAsia="en-GB"/>
              </w:rPr>
            </w:pPr>
          </w:p>
        </w:tc>
        <w:tc>
          <w:tcPr>
            <w:tcW w:w="2965" w:type="pct"/>
          </w:tcPr>
          <w:p>
            <w:pPr>
              <w:pStyle w:val="99"/>
              <w:tabs>
                <w:tab w:val="clear" w:pos="720"/>
              </w:tabs>
              <w:spacing w:after="120"/>
              <w:rPr>
                <w:rFonts w:ascii="Arial" w:hAnsi="Arial" w:cs="Arial"/>
                <w:sz w:val="21"/>
                <w:szCs w:val="21"/>
              </w:rPr>
            </w:pPr>
            <w:r>
              <w:rPr>
                <w:rFonts w:ascii="Arial" w:hAnsi="Arial" w:cs="Arial"/>
                <w:sz w:val="21"/>
                <w:szCs w:val="21"/>
              </w:rPr>
              <w:t>[●]% per tahun berdasarkan bagian dari jumlah fasilitas yang belum ditarik dan belum dibatalkan.</w:t>
            </w:r>
          </w:p>
        </w:tc>
      </w:tr>
      <w:tr>
        <w:tblPrEx>
          <w:tblCellMar>
            <w:top w:w="0" w:type="dxa"/>
            <w:left w:w="108" w:type="dxa"/>
            <w:bottom w:w="0" w:type="dxa"/>
            <w:right w:w="108" w:type="dxa"/>
          </w:tblCellMar>
        </w:tblPrEx>
        <w:trPr>
          <w:cantSplit/>
        </w:trPr>
        <w:tc>
          <w:tcPr>
            <w:tcW w:w="2035" w:type="pct"/>
          </w:tcPr>
          <w:p>
            <w:pPr>
              <w:widowControl w:val="0"/>
              <w:spacing w:after="120"/>
              <w:rPr>
                <w:rFonts w:ascii="Arial" w:hAnsi="Arial" w:cs="Arial"/>
                <w:i/>
                <w:sz w:val="21"/>
                <w:szCs w:val="21"/>
                <w:lang w:eastAsia="en-GB"/>
              </w:rPr>
            </w:pPr>
          </w:p>
        </w:tc>
        <w:tc>
          <w:tcPr>
            <w:tcW w:w="2965" w:type="pct"/>
          </w:tcPr>
          <w:p>
            <w:pPr>
              <w:pStyle w:val="99"/>
              <w:tabs>
                <w:tab w:val="clear" w:pos="720"/>
              </w:tabs>
              <w:spacing w:after="120"/>
              <w:rPr>
                <w:rFonts w:ascii="Arial" w:hAnsi="Arial" w:cs="Arial"/>
                <w:sz w:val="21"/>
                <w:szCs w:val="21"/>
              </w:rPr>
            </w:pPr>
            <w:r>
              <w:rPr>
                <w:rFonts w:ascii="Arial" w:hAnsi="Arial" w:cs="Arial"/>
                <w:sz w:val="21"/>
                <w:szCs w:val="21"/>
              </w:rPr>
              <w:t>Biaya-biaya Komitmen akan bertambah pada dan sejak [Tanggal Penandatanganan] sampai dengan hari terakhir Periode Ketersediaan Fasilitas Pinjaman Berjangka A dan harus dibayar pada setiap Tanggal Pembayaran Bunga, pada hari terakhir Periode Ketersediaan Fasilitas Pinjaman Berjangka A dan berdasarkan jumlah yang dibatalkan atas Fasilitas Pinjaman Berjangka A pada saat berlakunya pembatalan secara penuh, yang tertunggak.</w:t>
            </w:r>
          </w:p>
        </w:tc>
      </w:tr>
      <w:tr>
        <w:tblPrEx>
          <w:tblCellMar>
            <w:top w:w="0" w:type="dxa"/>
            <w:left w:w="108" w:type="dxa"/>
            <w:bottom w:w="0" w:type="dxa"/>
            <w:right w:w="108" w:type="dxa"/>
          </w:tblCellMar>
        </w:tblPrEx>
        <w:trPr>
          <w:cantSplit/>
        </w:trPr>
        <w:tc>
          <w:tcPr>
            <w:tcW w:w="2035" w:type="pct"/>
          </w:tcPr>
          <w:p>
            <w:pPr>
              <w:widowControl w:val="0"/>
              <w:spacing w:after="120"/>
              <w:rPr>
                <w:rFonts w:ascii="Arial" w:hAnsi="Arial" w:cs="Arial"/>
                <w:i/>
                <w:sz w:val="21"/>
                <w:szCs w:val="21"/>
                <w:lang w:eastAsia="en-GB"/>
              </w:rPr>
            </w:pPr>
          </w:p>
        </w:tc>
        <w:tc>
          <w:tcPr>
            <w:tcW w:w="2965" w:type="pct"/>
          </w:tcPr>
          <w:p>
            <w:pPr>
              <w:pStyle w:val="101"/>
              <w:keepNext/>
              <w:spacing w:after="120"/>
              <w:rPr>
                <w:rFonts w:ascii="Arial" w:hAnsi="Arial" w:cs="Arial"/>
                <w:sz w:val="21"/>
                <w:szCs w:val="21"/>
              </w:rPr>
            </w:pPr>
            <w:r>
              <w:rPr>
                <w:rFonts w:ascii="Arial" w:hAnsi="Arial" w:cs="Arial"/>
                <w:i/>
                <w:sz w:val="21"/>
                <w:szCs w:val="21"/>
              </w:rPr>
              <w:t>Biaya Pengaturan</w:t>
            </w:r>
            <w:r>
              <w:rPr>
                <w:rFonts w:ascii="Arial" w:hAnsi="Arial" w:cs="Arial"/>
                <w:sz w:val="21"/>
                <w:szCs w:val="21"/>
              </w:rPr>
              <w:t>:</w:t>
            </w:r>
          </w:p>
        </w:tc>
      </w:tr>
      <w:tr>
        <w:tblPrEx>
          <w:tblCellMar>
            <w:top w:w="0" w:type="dxa"/>
            <w:left w:w="108" w:type="dxa"/>
            <w:bottom w:w="0" w:type="dxa"/>
            <w:right w:w="108" w:type="dxa"/>
          </w:tblCellMar>
        </w:tblPrEx>
        <w:trPr>
          <w:cantSplit/>
        </w:trPr>
        <w:tc>
          <w:tcPr>
            <w:tcW w:w="2035" w:type="pct"/>
          </w:tcPr>
          <w:p>
            <w:pPr>
              <w:widowControl w:val="0"/>
              <w:spacing w:after="120"/>
              <w:rPr>
                <w:rFonts w:ascii="Arial" w:hAnsi="Arial" w:cs="Arial"/>
                <w:i/>
                <w:sz w:val="21"/>
                <w:szCs w:val="21"/>
                <w:lang w:eastAsia="en-GB"/>
              </w:rPr>
            </w:pPr>
          </w:p>
        </w:tc>
        <w:tc>
          <w:tcPr>
            <w:tcW w:w="2965" w:type="pct"/>
          </w:tcPr>
          <w:p>
            <w:pPr>
              <w:pStyle w:val="99"/>
              <w:tabs>
                <w:tab w:val="clear" w:pos="720"/>
              </w:tabs>
              <w:spacing w:after="120"/>
              <w:rPr>
                <w:rFonts w:ascii="Arial" w:hAnsi="Arial" w:cs="Arial"/>
                <w:sz w:val="21"/>
                <w:szCs w:val="21"/>
              </w:rPr>
            </w:pPr>
            <w:r>
              <w:rPr>
                <w:rFonts w:ascii="Arial" w:hAnsi="Arial" w:cs="Arial"/>
                <w:sz w:val="21"/>
                <w:szCs w:val="21"/>
              </w:rPr>
              <w:t>[●]% dari komitmen-komitmen total berdasarkan Fasilitas Pinjaman Berjangka A pada saat [Pemenuhan Pembiayaan].</w:t>
            </w:r>
          </w:p>
        </w:tc>
      </w:tr>
      <w:tr>
        <w:tblPrEx>
          <w:tblCellMar>
            <w:top w:w="0" w:type="dxa"/>
            <w:left w:w="108" w:type="dxa"/>
            <w:bottom w:w="0" w:type="dxa"/>
            <w:right w:w="108" w:type="dxa"/>
          </w:tblCellMar>
        </w:tblPrEx>
        <w:trPr>
          <w:cantSplit/>
        </w:trPr>
        <w:tc>
          <w:tcPr>
            <w:tcW w:w="2035" w:type="pct"/>
          </w:tcPr>
          <w:p>
            <w:pPr>
              <w:widowControl w:val="0"/>
              <w:spacing w:after="120"/>
              <w:rPr>
                <w:rFonts w:ascii="Arial" w:hAnsi="Arial" w:cs="Arial"/>
                <w:i/>
                <w:sz w:val="21"/>
                <w:szCs w:val="21"/>
                <w:lang w:eastAsia="en-GB"/>
              </w:rPr>
            </w:pPr>
          </w:p>
        </w:tc>
        <w:tc>
          <w:tcPr>
            <w:tcW w:w="2965" w:type="pct"/>
          </w:tcPr>
          <w:p>
            <w:pPr>
              <w:pStyle w:val="99"/>
              <w:tabs>
                <w:tab w:val="clear" w:pos="720"/>
              </w:tabs>
              <w:spacing w:after="120"/>
              <w:rPr>
                <w:rFonts w:ascii="Arial" w:hAnsi="Arial" w:cs="Arial"/>
                <w:sz w:val="21"/>
                <w:szCs w:val="21"/>
              </w:rPr>
            </w:pPr>
            <w:r>
              <w:rPr>
                <w:rFonts w:ascii="Arial" w:hAnsi="Arial" w:cs="Arial"/>
                <w:sz w:val="21"/>
                <w:szCs w:val="21"/>
              </w:rPr>
              <w:t>Biaya-biaya pengaturan akan harus dibayar dari hasil-hasil Penggunaan pertama berdasarkan Fasilitas Pinjaman Berjangka A.</w:t>
            </w:r>
          </w:p>
        </w:tc>
      </w:tr>
      <w:tr>
        <w:tblPrEx>
          <w:tblCellMar>
            <w:top w:w="0" w:type="dxa"/>
            <w:left w:w="108" w:type="dxa"/>
            <w:bottom w:w="0" w:type="dxa"/>
            <w:right w:w="108" w:type="dxa"/>
          </w:tblCellMar>
        </w:tblPrEx>
        <w:trPr>
          <w:cantSplit/>
        </w:trPr>
        <w:tc>
          <w:tcPr>
            <w:tcW w:w="2035" w:type="pct"/>
          </w:tcPr>
          <w:p>
            <w:pPr>
              <w:widowControl w:val="0"/>
              <w:spacing w:after="120"/>
              <w:rPr>
                <w:rFonts w:ascii="Arial" w:hAnsi="Arial" w:cs="Arial"/>
                <w:i/>
                <w:sz w:val="21"/>
                <w:szCs w:val="21"/>
                <w:lang w:eastAsia="en-GB"/>
              </w:rPr>
            </w:pPr>
          </w:p>
        </w:tc>
        <w:tc>
          <w:tcPr>
            <w:tcW w:w="2965" w:type="pct"/>
          </w:tcPr>
          <w:p>
            <w:pPr>
              <w:widowControl w:val="0"/>
              <w:spacing w:after="120"/>
              <w:rPr>
                <w:rFonts w:ascii="Arial" w:hAnsi="Arial" w:cs="Arial"/>
                <w:i/>
                <w:sz w:val="21"/>
                <w:szCs w:val="21"/>
                <w:lang w:eastAsia="en-GB"/>
              </w:rPr>
            </w:pPr>
            <w:r>
              <w:rPr>
                <w:rFonts w:ascii="Arial" w:hAnsi="Arial" w:cs="Arial"/>
                <w:sz w:val="21"/>
                <w:szCs w:val="21"/>
              </w:rPr>
              <w:t>[</w:t>
            </w:r>
            <w:r>
              <w:rPr>
                <w:rFonts w:ascii="Arial" w:hAnsi="Arial" w:cs="Arial"/>
                <w:i/>
                <w:iCs/>
                <w:sz w:val="21"/>
                <w:szCs w:val="21"/>
              </w:rPr>
              <w:t xml:space="preserve">Biaya-biaya lain akan dimasukkan, antara lain biaya-biaya keagenan, biaya-biaya jaminan </w:t>
            </w:r>
            <w:r>
              <w:rPr>
                <w:rFonts w:ascii="Arial" w:hAnsi="Arial" w:cs="Arial"/>
                <w:iCs/>
                <w:sz w:val="21"/>
                <w:szCs w:val="21"/>
              </w:rPr>
              <w:t>trustee</w:t>
            </w:r>
            <w:r>
              <w:rPr>
                <w:rFonts w:ascii="Arial" w:hAnsi="Arial" w:cs="Arial"/>
                <w:iCs/>
                <w:sz w:val="21"/>
                <w:szCs w:val="21"/>
                <w:lang w:val="en-US"/>
              </w:rPr>
              <w:t xml:space="preserve"> </w:t>
            </w:r>
            <w:r>
              <w:rPr>
                <w:rFonts w:ascii="Arial" w:hAnsi="Arial" w:cs="Arial"/>
                <w:i/>
                <w:iCs/>
                <w:sz w:val="21"/>
                <w:szCs w:val="21"/>
              </w:rPr>
              <w:t>dan biaya-biaya rekening bank</w:t>
            </w:r>
            <w:r>
              <w:rPr>
                <w:rFonts w:ascii="Arial" w:hAnsi="Arial" w:cs="Arial"/>
                <w:sz w:val="21"/>
                <w:szCs w:val="21"/>
              </w:rPr>
              <w:t>]</w:t>
            </w:r>
          </w:p>
        </w:tc>
      </w:tr>
      <w:tr>
        <w:tblPrEx>
          <w:tblCellMar>
            <w:top w:w="0" w:type="dxa"/>
            <w:left w:w="108" w:type="dxa"/>
            <w:bottom w:w="0" w:type="dxa"/>
            <w:right w:w="108" w:type="dxa"/>
          </w:tblCellMar>
        </w:tblPrEx>
        <w:trPr>
          <w:cantSplit/>
        </w:trPr>
        <w:tc>
          <w:tcPr>
            <w:tcW w:w="2035"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Periode Ketersediaan:</w:t>
            </w:r>
          </w:p>
        </w:tc>
        <w:tc>
          <w:tcPr>
            <w:tcW w:w="2965" w:type="pct"/>
          </w:tcPr>
          <w:p>
            <w:pPr>
              <w:widowControl w:val="0"/>
              <w:spacing w:after="120"/>
              <w:rPr>
                <w:rFonts w:ascii="Arial" w:hAnsi="Arial" w:cs="Arial"/>
                <w:i/>
                <w:sz w:val="21"/>
                <w:szCs w:val="21"/>
                <w:lang w:eastAsia="en-GB"/>
              </w:rPr>
            </w:pPr>
            <w:r>
              <w:rPr>
                <w:rFonts w:ascii="Arial" w:hAnsi="Arial" w:cs="Arial"/>
                <w:sz w:val="21"/>
                <w:szCs w:val="21"/>
              </w:rPr>
              <w:t>Sejak [tanggal Perjanjian] sampai dengan [mana yang lebih dulu antara [[</w:t>
            </w:r>
            <w:bookmarkStart w:id="32" w:name="_9kMH3K6ZWu9A67EI"/>
            <w:bookmarkStart w:id="33" w:name="_9kMH3I7ZVw9A67AB"/>
            <w:r>
              <w:rPr>
                <w:rFonts w:ascii="Arial" w:hAnsi="Arial" w:cs="Arial"/>
                <w:sz w:val="21"/>
                <w:szCs w:val="21"/>
              </w:rPr>
              <w:t>•</w:t>
            </w:r>
            <w:bookmarkEnd w:id="32"/>
            <w:bookmarkEnd w:id="33"/>
            <w:r>
              <w:rPr>
                <w:rFonts w:ascii="Arial" w:hAnsi="Arial" w:cs="Arial"/>
                <w:sz w:val="21"/>
                <w:szCs w:val="21"/>
              </w:rPr>
              <w:t>] hari setelah] (i) [Tanggal Penyelesaian Finansial/Tanggal Penyelesaian Proyek] dan (ii) Tanggal</w:t>
            </w:r>
            <w:r>
              <w:rPr>
                <w:rFonts w:ascii="Arial" w:hAnsi="Arial" w:cs="Arial"/>
                <w:i/>
                <w:sz w:val="21"/>
                <w:szCs w:val="21"/>
              </w:rPr>
              <w:t xml:space="preserve"> Longstop</w:t>
            </w:r>
            <w:r>
              <w:rPr>
                <w:rFonts w:ascii="Arial" w:hAnsi="Arial" w:cs="Arial"/>
                <w:sz w:val="21"/>
                <w:szCs w:val="21"/>
              </w:rPr>
              <w:t>]</w:t>
            </w:r>
            <w:r>
              <w:rPr>
                <w:rStyle w:val="25"/>
                <w:rFonts w:ascii="Arial" w:hAnsi="Arial" w:cs="Arial"/>
                <w:sz w:val="21"/>
                <w:szCs w:val="21"/>
              </w:rPr>
              <w:footnoteReference w:id="50"/>
            </w:r>
            <w:r>
              <w:rPr>
                <w:rFonts w:ascii="Arial" w:hAnsi="Arial" w:cs="Arial"/>
                <w:sz w:val="21"/>
                <w:szCs w:val="21"/>
              </w:rPr>
              <w:t>.</w:t>
            </w:r>
          </w:p>
        </w:tc>
      </w:tr>
      <w:tr>
        <w:tblPrEx>
          <w:tblCellMar>
            <w:top w:w="0" w:type="dxa"/>
            <w:left w:w="108" w:type="dxa"/>
            <w:bottom w:w="0" w:type="dxa"/>
            <w:right w:w="108" w:type="dxa"/>
          </w:tblCellMar>
        </w:tblPrEx>
        <w:trPr>
          <w:cantSplit/>
        </w:trPr>
        <w:tc>
          <w:tcPr>
            <w:tcW w:w="2035"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Jumlah Minimal Setiap Penggunaan:</w:t>
            </w:r>
          </w:p>
        </w:tc>
        <w:tc>
          <w:tcPr>
            <w:tcW w:w="2965" w:type="pct"/>
          </w:tcPr>
          <w:p>
            <w:pPr>
              <w:widowControl w:val="0"/>
              <w:spacing w:after="120"/>
              <w:rPr>
                <w:rFonts w:ascii="Arial" w:hAnsi="Arial" w:cs="Arial"/>
                <w:i/>
                <w:sz w:val="21"/>
                <w:szCs w:val="21"/>
                <w:lang w:eastAsia="en-GB"/>
              </w:rPr>
            </w:pPr>
            <w:r>
              <w:rPr>
                <w:rFonts w:ascii="Arial" w:hAnsi="Arial" w:cs="Arial"/>
                <w:sz w:val="21"/>
                <w:szCs w:val="21"/>
              </w:rPr>
              <w:t>Setiap Penggunaan harus dalam jumlah minimal sebesar [</w:t>
            </w:r>
            <w:r>
              <w:rPr>
                <w:rFonts w:ascii="Arial" w:hAnsi="Arial" w:cs="Arial"/>
                <w:i/>
                <w:sz w:val="21"/>
                <w:szCs w:val="21"/>
              </w:rPr>
              <w:t>masukkan jumlah</w:t>
            </w:r>
            <w:r>
              <w:rPr>
                <w:rFonts w:ascii="Arial" w:hAnsi="Arial" w:cs="Arial"/>
                <w:sz w:val="21"/>
                <w:szCs w:val="21"/>
              </w:rPr>
              <w:t>].</w:t>
            </w:r>
          </w:p>
        </w:tc>
      </w:tr>
      <w:tr>
        <w:tblPrEx>
          <w:tblCellMar>
            <w:top w:w="0" w:type="dxa"/>
            <w:left w:w="108" w:type="dxa"/>
            <w:bottom w:w="0" w:type="dxa"/>
            <w:right w:w="108" w:type="dxa"/>
          </w:tblCellMar>
        </w:tblPrEx>
        <w:trPr>
          <w:cantSplit/>
        </w:trPr>
        <w:tc>
          <w:tcPr>
            <w:tcW w:w="2035"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Frekuensi Penggunaan-penggunaan:</w:t>
            </w:r>
          </w:p>
        </w:tc>
        <w:tc>
          <w:tcPr>
            <w:tcW w:w="2965" w:type="pct"/>
          </w:tcPr>
          <w:p>
            <w:pPr>
              <w:widowControl w:val="0"/>
              <w:spacing w:after="120"/>
              <w:rPr>
                <w:rFonts w:ascii="Arial" w:hAnsi="Arial" w:cs="Arial"/>
                <w:i/>
                <w:sz w:val="21"/>
                <w:szCs w:val="21"/>
                <w:lang w:eastAsia="en-GB"/>
              </w:rPr>
            </w:pPr>
            <w:r>
              <w:rPr>
                <w:rFonts w:ascii="Arial" w:hAnsi="Arial" w:cs="Arial"/>
                <w:sz w:val="21"/>
                <w:szCs w:val="21"/>
              </w:rPr>
              <w:t>Penggunaan dapat dimohonkan pada setiap [bulan]/[kuartal] kalender</w:t>
            </w:r>
            <w:r>
              <w:rPr>
                <w:rStyle w:val="25"/>
                <w:rFonts w:ascii="Arial" w:hAnsi="Arial" w:cs="Arial"/>
                <w:sz w:val="21"/>
                <w:szCs w:val="21"/>
              </w:rPr>
              <w:footnoteReference w:id="51"/>
            </w:r>
            <w:r>
              <w:rPr>
                <w:rFonts w:ascii="Arial" w:hAnsi="Arial" w:cs="Arial"/>
                <w:sz w:val="21"/>
                <w:szCs w:val="21"/>
              </w:rPr>
              <w:t xml:space="preserve"> tidak lebih dari satu kali.</w:t>
            </w:r>
          </w:p>
        </w:tc>
      </w:tr>
      <w:tr>
        <w:tblPrEx>
          <w:tblCellMar>
            <w:top w:w="0" w:type="dxa"/>
            <w:left w:w="108" w:type="dxa"/>
            <w:bottom w:w="0" w:type="dxa"/>
            <w:right w:w="108" w:type="dxa"/>
          </w:tblCellMar>
        </w:tblPrEx>
        <w:trPr>
          <w:cantSplit/>
        </w:trPr>
        <w:tc>
          <w:tcPr>
            <w:tcW w:w="2035"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Tujuan:</w:t>
            </w:r>
          </w:p>
        </w:tc>
        <w:tc>
          <w:tcPr>
            <w:tcW w:w="2965" w:type="pct"/>
          </w:tcPr>
          <w:p>
            <w:pPr>
              <w:widowControl w:val="0"/>
              <w:spacing w:after="120"/>
              <w:jc w:val="left"/>
              <w:rPr>
                <w:rFonts w:ascii="Arial" w:hAnsi="Arial" w:cs="Arial"/>
                <w:sz w:val="21"/>
                <w:szCs w:val="21"/>
              </w:rPr>
            </w:pPr>
            <w:r>
              <w:rPr>
                <w:rFonts w:ascii="Arial" w:hAnsi="Arial" w:cs="Arial"/>
                <w:sz w:val="21"/>
                <w:szCs w:val="21"/>
              </w:rPr>
              <w:t>Untuk mendanai pembayaran Biaya-</w:t>
            </w:r>
            <w:r>
              <w:rPr>
                <w:rFonts w:ascii="Arial" w:hAnsi="Arial" w:cs="Arial"/>
                <w:sz w:val="21"/>
                <w:szCs w:val="21"/>
                <w:lang w:val="en-US"/>
              </w:rPr>
              <w:t>b</w:t>
            </w:r>
            <w:r>
              <w:rPr>
                <w:rFonts w:ascii="Arial" w:hAnsi="Arial" w:cs="Arial"/>
                <w:sz w:val="21"/>
                <w:szCs w:val="21"/>
              </w:rPr>
              <w:t>iaya Proyek.</w:t>
            </w:r>
            <w:bookmarkStart w:id="34" w:name="_9kR3WTr6734BKJLNF"/>
            <w:bookmarkStart w:id="35" w:name="_9kP4WSt67347DGLNF"/>
            <w:r>
              <w:rPr>
                <w:rStyle w:val="25"/>
                <w:rFonts w:ascii="Arial" w:hAnsi="Arial" w:cs="Arial"/>
                <w:sz w:val="21"/>
                <w:szCs w:val="21"/>
              </w:rPr>
              <w:footnoteReference w:id="52"/>
            </w:r>
            <w:r>
              <w:rPr>
                <w:rFonts w:ascii="Arial" w:hAnsi="Arial" w:cs="Arial"/>
                <w:sz w:val="21"/>
                <w:szCs w:val="21"/>
              </w:rPr>
              <w:t xml:space="preserve"> </w:t>
            </w:r>
            <w:r>
              <w:rPr>
                <w:rStyle w:val="25"/>
                <w:rFonts w:ascii="Arial" w:hAnsi="Arial" w:cs="Arial"/>
                <w:sz w:val="21"/>
                <w:szCs w:val="21"/>
              </w:rPr>
              <w:footnoteReference w:id="53"/>
            </w:r>
            <w:bookmarkEnd w:id="34"/>
            <w:bookmarkEnd w:id="35"/>
            <w:r>
              <w:rPr>
                <w:rFonts w:ascii="Arial" w:hAnsi="Arial" w:cs="Arial"/>
                <w:sz w:val="21"/>
                <w:szCs w:val="21"/>
                <w:lang w:eastAsia="en-GB"/>
              </w:rPr>
              <w:t xml:space="preserve"> </w:t>
            </w:r>
          </w:p>
        </w:tc>
      </w:tr>
      <w:tr>
        <w:tblPrEx>
          <w:tblCellMar>
            <w:top w:w="0" w:type="dxa"/>
            <w:left w:w="108" w:type="dxa"/>
            <w:bottom w:w="0" w:type="dxa"/>
            <w:right w:w="108" w:type="dxa"/>
          </w:tblCellMar>
        </w:tblPrEx>
        <w:tc>
          <w:tcPr>
            <w:tcW w:w="2035"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Biaya-biaya Proyek:</w:t>
            </w:r>
          </w:p>
        </w:tc>
        <w:tc>
          <w:tcPr>
            <w:tcW w:w="2965" w:type="pct"/>
          </w:tcPr>
          <w:p>
            <w:pPr>
              <w:pStyle w:val="3"/>
              <w:widowControl w:val="0"/>
              <w:spacing w:after="120"/>
              <w:ind w:left="0"/>
              <w:rPr>
                <w:rFonts w:ascii="Arial" w:hAnsi="Arial" w:cs="Arial"/>
                <w:sz w:val="21"/>
                <w:szCs w:val="21"/>
              </w:rPr>
            </w:pPr>
            <w:r>
              <w:rPr>
                <w:rFonts w:ascii="Arial" w:hAnsi="Arial" w:cs="Arial"/>
                <w:sz w:val="21"/>
                <w:szCs w:val="21"/>
              </w:rPr>
              <w:t xml:space="preserve">[Biaya-biaya (sebagaimana dirinci dalam anggaran-anggaran terkait dan disepakati dengan Agen </w:t>
            </w:r>
            <w:r>
              <w:rPr>
                <w:rFonts w:ascii="Arial" w:hAnsi="Arial" w:cs="Arial"/>
                <w:sz w:val="21"/>
                <w:szCs w:val="21"/>
                <w:lang w:val="en-US"/>
              </w:rPr>
              <w:t>Antarkreditur</w:t>
            </w:r>
            <w:r>
              <w:rPr>
                <w:rFonts w:ascii="Arial" w:hAnsi="Arial" w:cs="Arial"/>
                <w:sz w:val="21"/>
                <w:szCs w:val="21"/>
              </w:rPr>
              <w:t>) pengembangan, pembiayaan, konstruksi dan uji coba [Pabrik], termasuk biaya-biaya konstruksi dan uji coba, biaya-biaya dan ongkos-ongkos pengembangan, modal kerja sebelum penyelesaian, hal-hal yang mungkin timbul di kemudian hari</w:t>
            </w:r>
            <w:r>
              <w:rPr>
                <w:rFonts w:ascii="Arial" w:hAnsi="Arial" w:cs="Arial"/>
                <w:sz w:val="21"/>
                <w:szCs w:val="21"/>
                <w:lang w:val="en-US"/>
              </w:rPr>
              <w:t xml:space="preserve"> (</w:t>
            </w:r>
            <w:r>
              <w:rPr>
                <w:rFonts w:ascii="Arial" w:hAnsi="Arial" w:cs="Arial"/>
                <w:i/>
                <w:iCs/>
                <w:sz w:val="21"/>
                <w:szCs w:val="21"/>
                <w:lang w:val="en-US"/>
              </w:rPr>
              <w:t>contingencies</w:t>
            </w:r>
            <w:r>
              <w:rPr>
                <w:rFonts w:ascii="Arial" w:hAnsi="Arial" w:cs="Arial"/>
                <w:sz w:val="21"/>
                <w:szCs w:val="21"/>
                <w:lang w:val="en-US"/>
              </w:rPr>
              <w:t>)</w:t>
            </w:r>
            <w:r>
              <w:rPr>
                <w:rFonts w:ascii="Arial" w:hAnsi="Arial" w:cs="Arial"/>
                <w:sz w:val="21"/>
                <w:szCs w:val="21"/>
              </w:rPr>
              <w:t>, biaya-biaya pembiayaan selama konstruksi</w:t>
            </w:r>
            <w:r>
              <w:rPr>
                <w:rStyle w:val="25"/>
                <w:rFonts w:ascii="Arial" w:hAnsi="Arial" w:cs="Arial"/>
                <w:sz w:val="21"/>
                <w:szCs w:val="21"/>
              </w:rPr>
              <w:footnoteReference w:id="54"/>
            </w:r>
            <w:r>
              <w:rPr>
                <w:rFonts w:ascii="Arial" w:hAnsi="Arial" w:cs="Arial"/>
                <w:sz w:val="21"/>
                <w:szCs w:val="21"/>
              </w:rPr>
              <w:t xml:space="preserve"> </w:t>
            </w:r>
            <w:r>
              <w:rPr>
                <w:rStyle w:val="25"/>
                <w:rFonts w:ascii="Arial" w:hAnsi="Arial" w:cs="Arial"/>
                <w:sz w:val="21"/>
                <w:szCs w:val="21"/>
              </w:rPr>
              <w:footnoteReference w:id="55"/>
            </w:r>
            <w:r>
              <w:rPr>
                <w:rFonts w:ascii="Arial" w:hAnsi="Arial" w:cs="Arial"/>
                <w:sz w:val="21"/>
                <w:szCs w:val="21"/>
              </w:rPr>
              <w:t>, [pendanaan awal atas rekening-rekening cadangan]</w:t>
            </w:r>
            <w:r>
              <w:rPr>
                <w:rStyle w:val="25"/>
                <w:rFonts w:ascii="Arial" w:hAnsi="Arial" w:cs="Arial"/>
                <w:sz w:val="21"/>
                <w:szCs w:val="21"/>
              </w:rPr>
              <w:footnoteReference w:id="56"/>
            </w:r>
            <w:r>
              <w:rPr>
                <w:rFonts w:ascii="Arial" w:hAnsi="Arial" w:cs="Arial"/>
                <w:sz w:val="21"/>
                <w:szCs w:val="21"/>
              </w:rPr>
              <w:t>, biaya-biaya perolehan izin-izin yang disyaratkan, biaya-biaya operasi</w:t>
            </w:r>
            <w:r>
              <w:rPr>
                <w:rFonts w:ascii="Arial" w:hAnsi="Arial" w:cs="Arial"/>
                <w:sz w:val="21"/>
                <w:szCs w:val="21"/>
                <w:lang w:val="en-US"/>
              </w:rPr>
              <w:t>onal</w:t>
            </w:r>
            <w:r>
              <w:rPr>
                <w:rFonts w:ascii="Arial" w:hAnsi="Arial" w:cs="Arial"/>
                <w:sz w:val="21"/>
                <w:szCs w:val="21"/>
              </w:rPr>
              <w:t xml:space="preserve"> sampai dengan Tanggal Operasi Komersial, biaya-biaya asuransi, pajak, [</w:t>
            </w:r>
            <w:r>
              <w:rPr>
                <w:rFonts w:ascii="Arial" w:hAnsi="Arial" w:cs="Arial"/>
                <w:i/>
                <w:iCs/>
                <w:sz w:val="21"/>
                <w:szCs w:val="21"/>
              </w:rPr>
              <w:t>masukkan hal-hal lainnya</w:t>
            </w:r>
            <w:r>
              <w:rPr>
                <w:rFonts w:ascii="Arial" w:hAnsi="Arial" w:cs="Arial"/>
                <w:sz w:val="21"/>
                <w:szCs w:val="21"/>
              </w:rPr>
              <w:t>].]</w:t>
            </w:r>
            <w:r>
              <w:rPr>
                <w:rStyle w:val="25"/>
                <w:rFonts w:ascii="Arial" w:hAnsi="Arial" w:cs="Arial"/>
                <w:sz w:val="21"/>
                <w:szCs w:val="21"/>
              </w:rPr>
              <w:footnoteReference w:id="57"/>
            </w:r>
          </w:p>
        </w:tc>
      </w:tr>
    </w:tbl>
    <w:p>
      <w:pPr>
        <w:pStyle w:val="105"/>
        <w:spacing w:after="120"/>
        <w:rPr>
          <w:rFonts w:ascii="Arial" w:hAnsi="Arial" w:cs="Arial"/>
          <w:sz w:val="21"/>
          <w:szCs w:val="21"/>
        </w:rPr>
      </w:pPr>
      <w:bookmarkStart w:id="36" w:name="_9kMOL6YUv7DA68F"/>
      <w:bookmarkStart w:id="37" w:name="_9kMON5YVt7DA6CM"/>
      <w:bookmarkStart w:id="38" w:name="_Toc74557527"/>
      <w:bookmarkStart w:id="39" w:name="_Toc74860673"/>
      <w:r>
        <w:rPr>
          <w:rFonts w:ascii="Arial" w:hAnsi="Arial" w:cs="Arial"/>
          <w:sz w:val="21"/>
          <w:szCs w:val="21"/>
        </w:rPr>
        <w:t>[</w:t>
      </w:r>
      <w:bookmarkEnd w:id="36"/>
      <w:bookmarkEnd w:id="37"/>
      <w:r>
        <w:rPr>
          <w:rFonts w:ascii="Arial" w:hAnsi="Arial" w:cs="Arial"/>
          <w:sz w:val="21"/>
          <w:szCs w:val="21"/>
        </w:rPr>
        <w:t>FASILITAS MODAL KERJA</w:t>
      </w:r>
      <w:bookmarkEnd w:id="38"/>
      <w:bookmarkEnd w:id="39"/>
    </w:p>
    <w:tbl>
      <w:tblPr>
        <w:tblStyle w:val="17"/>
        <w:tblW w:w="5000" w:type="pct"/>
        <w:tblInd w:w="-90" w:type="dxa"/>
        <w:tblLayout w:type="autofit"/>
        <w:tblCellMar>
          <w:top w:w="0" w:type="dxa"/>
          <w:left w:w="108" w:type="dxa"/>
          <w:bottom w:w="0" w:type="dxa"/>
          <w:right w:w="108" w:type="dxa"/>
        </w:tblCellMar>
      </w:tblPr>
      <w:tblGrid>
        <w:gridCol w:w="3670"/>
        <w:gridCol w:w="5213"/>
      </w:tblGrid>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Fasilitas:</w:t>
            </w:r>
          </w:p>
        </w:tc>
        <w:tc>
          <w:tcPr>
            <w:tcW w:w="2934" w:type="pct"/>
          </w:tcPr>
          <w:p>
            <w:pPr>
              <w:pStyle w:val="101"/>
              <w:spacing w:after="120"/>
              <w:rPr>
                <w:rFonts w:ascii="Arial" w:hAnsi="Arial" w:cs="Arial"/>
                <w:sz w:val="21"/>
                <w:szCs w:val="21"/>
              </w:rPr>
            </w:pPr>
            <w:r>
              <w:rPr>
                <w:rFonts w:ascii="Arial" w:hAnsi="Arial" w:cs="Arial"/>
                <w:sz w:val="21"/>
                <w:szCs w:val="21"/>
              </w:rPr>
              <w:t>Fasilitas [pinjaman/kredit]</w:t>
            </w:r>
            <w:r>
              <w:rPr>
                <w:rStyle w:val="25"/>
                <w:rFonts w:ascii="Arial" w:hAnsi="Arial" w:eastAsia="Times New Roman" w:cs="Arial"/>
                <w:sz w:val="21"/>
                <w:szCs w:val="21"/>
              </w:rPr>
              <w:footnoteReference w:id="58"/>
            </w:r>
            <w:r>
              <w:rPr>
                <w:rFonts w:ascii="Arial" w:hAnsi="Arial" w:cs="Arial"/>
                <w:sz w:val="21"/>
                <w:szCs w:val="21"/>
              </w:rPr>
              <w:t xml:space="preserve"> </w:t>
            </w:r>
            <w:bookmarkStart w:id="40" w:name="_9kMPM6YUv7DA68F"/>
            <w:bookmarkStart w:id="41" w:name="_9kMPO5YVt7DA6CM"/>
            <w:r>
              <w:rPr>
                <w:rFonts w:ascii="Arial" w:hAnsi="Arial" w:cs="Arial"/>
                <w:sz w:val="21"/>
                <w:szCs w:val="21"/>
              </w:rPr>
              <w:t>bergulir (</w:t>
            </w:r>
            <w:r>
              <w:rPr>
                <w:rFonts w:ascii="Arial" w:hAnsi="Arial" w:cs="Arial"/>
                <w:i/>
                <w:sz w:val="21"/>
                <w:szCs w:val="21"/>
              </w:rPr>
              <w:t>revolving</w:t>
            </w:r>
            <w:r>
              <w:rPr>
                <w:rFonts w:ascii="Arial" w:hAnsi="Arial" w:cs="Arial"/>
                <w:sz w:val="21"/>
                <w:szCs w:val="21"/>
              </w:rPr>
              <w:t>) [</w:t>
            </w:r>
            <w:bookmarkEnd w:id="40"/>
            <w:bookmarkEnd w:id="41"/>
            <w:r>
              <w:rPr>
                <w:rFonts w:ascii="Arial" w:hAnsi="Arial" w:eastAsia="Times New Roman" w:cs="Arial"/>
                <w:sz w:val="21"/>
                <w:szCs w:val="21"/>
              </w:rPr>
              <w:t>yang dapat digunakan dengan cara</w:t>
            </w:r>
            <w:r>
              <w:rPr>
                <w:rFonts w:ascii="Arial" w:hAnsi="Arial" w:cs="Arial"/>
                <w:sz w:val="21"/>
                <w:szCs w:val="21"/>
              </w:rPr>
              <w:t>:</w:t>
            </w:r>
          </w:p>
        </w:tc>
      </w:tr>
      <w:tr>
        <w:tblPrEx>
          <w:tblCellMar>
            <w:top w:w="0" w:type="dxa"/>
            <w:left w:w="108" w:type="dxa"/>
            <w:bottom w:w="0" w:type="dxa"/>
            <w:right w:w="108" w:type="dxa"/>
          </w:tblCellMar>
        </w:tblPrEx>
        <w:trPr>
          <w:cantSplit/>
        </w:trPr>
        <w:tc>
          <w:tcPr>
            <w:tcW w:w="2066" w:type="pct"/>
          </w:tcPr>
          <w:p>
            <w:pPr>
              <w:pStyle w:val="3"/>
              <w:widowControl w:val="0"/>
              <w:spacing w:after="120"/>
              <w:jc w:val="left"/>
              <w:rPr>
                <w:rFonts w:ascii="Arial" w:hAnsi="Arial" w:cs="Arial"/>
                <w:b/>
                <w:bCs/>
                <w:sz w:val="21"/>
                <w:szCs w:val="21"/>
              </w:rPr>
            </w:pPr>
          </w:p>
        </w:tc>
        <w:tc>
          <w:tcPr>
            <w:tcW w:w="2934" w:type="pct"/>
          </w:tcPr>
          <w:p>
            <w:pPr>
              <w:pStyle w:val="99"/>
              <w:tabs>
                <w:tab w:val="clear" w:pos="720"/>
              </w:tabs>
              <w:spacing w:after="120"/>
              <w:rPr>
                <w:rFonts w:ascii="Arial" w:hAnsi="Arial" w:eastAsia="Times New Roman" w:cs="Arial"/>
                <w:sz w:val="21"/>
                <w:szCs w:val="21"/>
              </w:rPr>
            </w:pPr>
            <w:r>
              <w:rPr>
                <w:rFonts w:ascii="Arial" w:hAnsi="Arial" w:eastAsia="Times New Roman" w:cs="Arial"/>
                <w:sz w:val="21"/>
                <w:szCs w:val="21"/>
              </w:rPr>
              <w:t>penarikan pinjaman-pinjaman; [dan]</w:t>
            </w:r>
          </w:p>
        </w:tc>
      </w:tr>
      <w:tr>
        <w:tblPrEx>
          <w:tblCellMar>
            <w:top w:w="0" w:type="dxa"/>
            <w:left w:w="108" w:type="dxa"/>
            <w:bottom w:w="0" w:type="dxa"/>
            <w:right w:w="108" w:type="dxa"/>
          </w:tblCellMar>
        </w:tblPrEx>
        <w:trPr>
          <w:cantSplit/>
        </w:trPr>
        <w:tc>
          <w:tcPr>
            <w:tcW w:w="2066" w:type="pct"/>
          </w:tcPr>
          <w:p>
            <w:pPr>
              <w:pStyle w:val="3"/>
              <w:widowControl w:val="0"/>
              <w:spacing w:after="120"/>
              <w:jc w:val="left"/>
              <w:rPr>
                <w:rFonts w:ascii="Arial" w:hAnsi="Arial" w:cs="Arial"/>
                <w:b/>
                <w:bCs/>
                <w:sz w:val="21"/>
                <w:szCs w:val="21"/>
              </w:rPr>
            </w:pPr>
          </w:p>
        </w:tc>
        <w:tc>
          <w:tcPr>
            <w:tcW w:w="2934" w:type="pct"/>
          </w:tcPr>
          <w:p>
            <w:pPr>
              <w:pStyle w:val="99"/>
              <w:tabs>
                <w:tab w:val="clear" w:pos="720"/>
              </w:tabs>
              <w:spacing w:after="120"/>
              <w:rPr>
                <w:rFonts w:ascii="Arial" w:hAnsi="Arial" w:eastAsia="Times New Roman" w:cs="Arial"/>
                <w:sz w:val="21"/>
                <w:szCs w:val="21"/>
              </w:rPr>
            </w:pPr>
            <w:r>
              <w:rPr>
                <w:rFonts w:ascii="Arial" w:hAnsi="Arial" w:eastAsia="Times New Roman" w:cs="Arial"/>
                <w:sz w:val="21"/>
                <w:szCs w:val="21"/>
              </w:rPr>
              <w:t xml:space="preserve">[penerbitan </w:t>
            </w:r>
            <w:r>
              <w:rPr>
                <w:rFonts w:ascii="Arial" w:hAnsi="Arial" w:eastAsia="Times New Roman" w:cs="Arial"/>
                <w:i/>
                <w:sz w:val="21"/>
                <w:szCs w:val="21"/>
              </w:rPr>
              <w:t>letter of credit</w:t>
            </w:r>
            <w:r>
              <w:rPr>
                <w:rFonts w:ascii="Arial" w:hAnsi="Arial" w:eastAsia="Times New Roman" w:cs="Arial"/>
                <w:sz w:val="21"/>
                <w:szCs w:val="21"/>
              </w:rPr>
              <w:t>.]</w:t>
            </w:r>
            <w:bookmarkStart w:id="42" w:name="_9kMIF6YUv7DA69D"/>
            <w:bookmarkStart w:id="43" w:name="_9kMIH5YVt7DA6DK"/>
            <w:r>
              <w:rPr>
                <w:rFonts w:ascii="Arial" w:hAnsi="Arial" w:eastAsia="Times New Roman" w:cs="Arial"/>
                <w:sz w:val="21"/>
                <w:szCs w:val="21"/>
              </w:rPr>
              <w:t>]</w:t>
            </w:r>
            <w:bookmarkEnd w:id="42"/>
            <w:bookmarkEnd w:id="43"/>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Jumlah:</w:t>
            </w:r>
          </w:p>
        </w:tc>
        <w:tc>
          <w:tcPr>
            <w:tcW w:w="2934" w:type="pct"/>
          </w:tcPr>
          <w:p>
            <w:pPr>
              <w:pStyle w:val="101"/>
              <w:spacing w:after="120"/>
              <w:rPr>
                <w:rFonts w:ascii="Arial" w:hAnsi="Arial" w:eastAsia="Times New Roman" w:cs="Arial"/>
                <w:sz w:val="21"/>
                <w:szCs w:val="21"/>
              </w:rPr>
            </w:pPr>
            <w:r>
              <w:rPr>
                <w:rFonts w:ascii="Arial" w:hAnsi="Arial" w:eastAsia="Times New Roman" w:cs="Arial"/>
                <w:sz w:val="21"/>
                <w:szCs w:val="21"/>
              </w:rPr>
              <w:t>[</w:t>
            </w:r>
            <w:r>
              <w:rPr>
                <w:rFonts w:ascii="Arial" w:hAnsi="Arial" w:eastAsia="Times New Roman" w:cs="Arial"/>
                <w:i/>
                <w:sz w:val="21"/>
                <w:szCs w:val="21"/>
              </w:rPr>
              <w:t xml:space="preserve">Masukkan mata uang dan jumlah fasilitas bergulir </w:t>
            </w:r>
            <w:r>
              <w:rPr>
                <w:rFonts w:ascii="Arial" w:hAnsi="Arial" w:eastAsia="Times New Roman" w:cs="Arial"/>
                <w:iCs/>
                <w:sz w:val="21"/>
                <w:szCs w:val="21"/>
              </w:rPr>
              <w:t>(</w:t>
            </w:r>
            <w:r>
              <w:rPr>
                <w:rFonts w:ascii="Arial" w:hAnsi="Arial" w:eastAsia="Times New Roman" w:cs="Arial"/>
                <w:i/>
                <w:sz w:val="21"/>
                <w:szCs w:val="21"/>
              </w:rPr>
              <w:t>revolving</w:t>
            </w:r>
            <w:r>
              <w:rPr>
                <w:rFonts w:ascii="Arial" w:hAnsi="Arial" w:eastAsia="Times New Roman" w:cs="Arial"/>
                <w:iCs/>
                <w:sz w:val="21"/>
                <w:szCs w:val="21"/>
              </w:rPr>
              <w:t>)</w:t>
            </w:r>
            <w:r>
              <w:rPr>
                <w:rFonts w:ascii="Arial" w:hAnsi="Arial" w:eastAsia="Times New Roman" w:cs="Arial"/>
                <w:sz w:val="21"/>
                <w:szCs w:val="21"/>
              </w:rPr>
              <w:t xml:space="preserve">] </w:t>
            </w:r>
            <w:bookmarkStart w:id="44" w:name="_9kMHzG6ZWu8EB7DN"/>
            <w:bookmarkStart w:id="45" w:name="_9kMHzE7ZVw8EB79G"/>
            <w:r>
              <w:rPr>
                <w:rFonts w:ascii="Arial" w:hAnsi="Arial" w:eastAsia="Times New Roman" w:cs="Arial"/>
                <w:sz w:val="21"/>
                <w:szCs w:val="21"/>
              </w:rPr>
              <w:t>[</w:t>
            </w:r>
            <w:bookmarkEnd w:id="44"/>
            <w:bookmarkEnd w:id="45"/>
            <w:bookmarkStart w:id="46" w:name="_9kMH0F7ZVw8EB79G"/>
            <w:bookmarkStart w:id="47" w:name="_9kMH0H6ZWu8EB7DN"/>
            <w:r>
              <w:rPr>
                <w:rFonts w:ascii="Arial" w:hAnsi="Arial" w:eastAsia="Times New Roman" w:cs="Arial"/>
                <w:sz w:val="21"/>
                <w:szCs w:val="21"/>
              </w:rPr>
              <w:t>yang akan digunakan [</w:t>
            </w:r>
            <w:bookmarkEnd w:id="46"/>
            <w:bookmarkEnd w:id="47"/>
            <w:r>
              <w:rPr>
                <w:rFonts w:ascii="Arial" w:hAnsi="Arial" w:eastAsia="Times New Roman" w:cs="Arial"/>
                <w:sz w:val="21"/>
                <w:szCs w:val="21"/>
              </w:rPr>
              <w:t>sebagai berikut:</w:t>
            </w:r>
          </w:p>
        </w:tc>
      </w:tr>
      <w:tr>
        <w:tblPrEx>
          <w:tblCellMar>
            <w:top w:w="0" w:type="dxa"/>
            <w:left w:w="108" w:type="dxa"/>
            <w:bottom w:w="0" w:type="dxa"/>
            <w:right w:w="108" w:type="dxa"/>
          </w:tblCellMar>
        </w:tblPrEx>
        <w:trPr>
          <w:cantSplit/>
        </w:trPr>
        <w:tc>
          <w:tcPr>
            <w:tcW w:w="2066" w:type="pct"/>
          </w:tcPr>
          <w:p>
            <w:pPr>
              <w:pStyle w:val="3"/>
              <w:widowControl w:val="0"/>
              <w:spacing w:after="120"/>
              <w:jc w:val="left"/>
              <w:rPr>
                <w:rFonts w:ascii="Arial" w:hAnsi="Arial" w:cs="Arial"/>
                <w:b/>
                <w:bCs/>
                <w:sz w:val="21"/>
                <w:szCs w:val="21"/>
              </w:rPr>
            </w:pPr>
          </w:p>
        </w:tc>
        <w:tc>
          <w:tcPr>
            <w:tcW w:w="2934" w:type="pct"/>
          </w:tcPr>
          <w:p>
            <w:pPr>
              <w:pStyle w:val="99"/>
              <w:tabs>
                <w:tab w:val="clear" w:pos="720"/>
              </w:tabs>
              <w:spacing w:after="120"/>
              <w:rPr>
                <w:rFonts w:ascii="Arial" w:hAnsi="Arial" w:eastAsia="Times New Roman" w:cs="Arial"/>
                <w:sz w:val="21"/>
                <w:szCs w:val="21"/>
              </w:rPr>
            </w:pPr>
            <w:r>
              <w:rPr>
                <w:rFonts w:ascii="Arial" w:hAnsi="Arial" w:eastAsia="Times New Roman" w:cs="Arial"/>
                <w:sz w:val="21"/>
                <w:szCs w:val="21"/>
              </w:rPr>
              <w:t xml:space="preserve">dalam hal Pinjaman-pinjaman [dan </w:t>
            </w:r>
            <w:r>
              <w:rPr>
                <w:rFonts w:ascii="Arial" w:hAnsi="Arial" w:eastAsia="Times New Roman" w:cs="Arial"/>
                <w:i/>
                <w:sz w:val="21"/>
                <w:szCs w:val="21"/>
              </w:rPr>
              <w:t>Letter of Credit</w:t>
            </w:r>
            <w:r>
              <w:rPr>
                <w:rFonts w:ascii="Arial" w:hAnsi="Arial" w:eastAsia="Times New Roman" w:cs="Arial"/>
                <w:sz w:val="21"/>
                <w:szCs w:val="21"/>
              </w:rPr>
              <w:t>]</w:t>
            </w:r>
            <w:bookmarkStart w:id="48" w:name="_9kMJG6YUv7DA69D"/>
            <w:bookmarkStart w:id="49" w:name="_9kMJI5YVt7DA6DK"/>
            <w:r>
              <w:rPr>
                <w:rFonts w:ascii="Arial" w:hAnsi="Arial" w:eastAsia="Times New Roman" w:cs="Arial"/>
                <w:sz w:val="21"/>
                <w:szCs w:val="21"/>
              </w:rPr>
              <w:t>]</w:t>
            </w:r>
            <w:bookmarkEnd w:id="48"/>
            <w:bookmarkEnd w:id="49"/>
            <w:r>
              <w:rPr>
                <w:rFonts w:ascii="Arial" w:hAnsi="Arial" w:eastAsia="Times New Roman" w:cs="Arial"/>
                <w:sz w:val="21"/>
                <w:szCs w:val="21"/>
              </w:rPr>
              <w:t xml:space="preserve"> dalam [</w:t>
            </w:r>
            <w:r>
              <w:rPr>
                <w:rFonts w:ascii="Arial" w:hAnsi="Arial" w:eastAsia="Times New Roman" w:cs="Arial"/>
                <w:i/>
                <w:sz w:val="21"/>
                <w:szCs w:val="21"/>
              </w:rPr>
              <w:t>masukkan mata uang</w:t>
            </w:r>
            <w:r>
              <w:rPr>
                <w:rFonts w:ascii="Arial" w:hAnsi="Arial" w:eastAsia="Times New Roman" w:cs="Arial"/>
                <w:sz w:val="21"/>
                <w:szCs w:val="21"/>
              </w:rPr>
              <w:t>][; dan]</w:t>
            </w:r>
          </w:p>
        </w:tc>
      </w:tr>
      <w:tr>
        <w:tblPrEx>
          <w:tblCellMar>
            <w:top w:w="0" w:type="dxa"/>
            <w:left w:w="108" w:type="dxa"/>
            <w:bottom w:w="0" w:type="dxa"/>
            <w:right w:w="108" w:type="dxa"/>
          </w:tblCellMar>
        </w:tblPrEx>
        <w:trPr>
          <w:cantSplit/>
        </w:trPr>
        <w:tc>
          <w:tcPr>
            <w:tcW w:w="2066" w:type="pct"/>
          </w:tcPr>
          <w:p>
            <w:pPr>
              <w:pStyle w:val="3"/>
              <w:widowControl w:val="0"/>
              <w:spacing w:after="120"/>
              <w:jc w:val="left"/>
              <w:rPr>
                <w:rFonts w:ascii="Arial" w:hAnsi="Arial" w:cs="Arial"/>
                <w:b/>
                <w:bCs/>
                <w:sz w:val="21"/>
                <w:szCs w:val="21"/>
              </w:rPr>
            </w:pPr>
          </w:p>
        </w:tc>
        <w:tc>
          <w:tcPr>
            <w:tcW w:w="2934" w:type="pct"/>
          </w:tcPr>
          <w:p>
            <w:pPr>
              <w:pStyle w:val="99"/>
              <w:tabs>
                <w:tab w:val="clear" w:pos="720"/>
              </w:tabs>
              <w:spacing w:after="120"/>
              <w:rPr>
                <w:rFonts w:ascii="Arial" w:hAnsi="Arial" w:eastAsia="Times New Roman" w:cs="Arial"/>
                <w:sz w:val="21"/>
                <w:szCs w:val="21"/>
              </w:rPr>
            </w:pPr>
            <w:r>
              <w:rPr>
                <w:rFonts w:ascii="Arial" w:hAnsi="Arial" w:eastAsia="Times New Roman" w:cs="Arial"/>
                <w:sz w:val="21"/>
                <w:szCs w:val="21"/>
              </w:rPr>
              <w:t xml:space="preserve">[dalam hal </w:t>
            </w:r>
            <w:r>
              <w:rPr>
                <w:rFonts w:ascii="Arial" w:hAnsi="Arial" w:eastAsia="Times New Roman" w:cs="Arial"/>
                <w:i/>
                <w:sz w:val="21"/>
                <w:szCs w:val="21"/>
              </w:rPr>
              <w:t>Letter of Credit</w:t>
            </w:r>
            <w:r>
              <w:rPr>
                <w:rFonts w:ascii="Arial" w:hAnsi="Arial" w:eastAsia="Times New Roman" w:cs="Arial"/>
                <w:sz w:val="21"/>
                <w:szCs w:val="21"/>
              </w:rPr>
              <w:t xml:space="preserve"> dalam [</w:t>
            </w:r>
            <w:r>
              <w:rPr>
                <w:rFonts w:ascii="Arial" w:hAnsi="Arial" w:eastAsia="Times New Roman" w:cs="Arial"/>
                <w:i/>
                <w:sz w:val="21"/>
                <w:szCs w:val="21"/>
              </w:rPr>
              <w:t>masukkan mata uang</w:t>
            </w:r>
            <w:r>
              <w:rPr>
                <w:rFonts w:ascii="Arial" w:hAnsi="Arial" w:eastAsia="Times New Roman" w:cs="Arial"/>
                <w:sz w:val="21"/>
                <w:szCs w:val="21"/>
              </w:rPr>
              <w:t>].]</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Margin:</w:t>
            </w:r>
          </w:p>
        </w:tc>
        <w:tc>
          <w:tcPr>
            <w:tcW w:w="2934" w:type="pct"/>
          </w:tcPr>
          <w:p>
            <w:pPr>
              <w:pStyle w:val="3"/>
              <w:widowControl w:val="0"/>
              <w:spacing w:after="120"/>
              <w:ind w:left="0"/>
              <w:rPr>
                <w:rFonts w:ascii="Arial" w:hAnsi="Arial" w:cs="Arial"/>
                <w:sz w:val="21"/>
                <w:szCs w:val="21"/>
              </w:rPr>
            </w:pPr>
            <w:r>
              <w:rPr>
                <w:rFonts w:ascii="Arial" w:hAnsi="Arial" w:cs="Arial"/>
                <w:sz w:val="21"/>
                <w:szCs w:val="21"/>
              </w:rPr>
              <w:t>[•]% per tahun.</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Suku Bunga:</w:t>
            </w:r>
          </w:p>
        </w:tc>
        <w:tc>
          <w:tcPr>
            <w:tcW w:w="2934" w:type="pct"/>
          </w:tcPr>
          <w:p>
            <w:pPr>
              <w:pStyle w:val="3"/>
              <w:widowControl w:val="0"/>
              <w:spacing w:after="120"/>
              <w:ind w:left="0"/>
              <w:rPr>
                <w:rFonts w:ascii="Arial" w:hAnsi="Arial" w:cs="Arial"/>
                <w:sz w:val="21"/>
                <w:szCs w:val="21"/>
              </w:rPr>
            </w:pPr>
            <w:r>
              <w:rPr>
                <w:rFonts w:ascii="Arial" w:hAnsi="Arial" w:cs="Arial"/>
                <w:sz w:val="21"/>
                <w:szCs w:val="21"/>
                <w:lang w:eastAsia="en-GB"/>
              </w:rPr>
              <w:t xml:space="preserve">Margin yang berlaku </w:t>
            </w:r>
            <w:r>
              <w:rPr>
                <w:rFonts w:ascii="Arial" w:hAnsi="Arial" w:cs="Arial"/>
                <w:i/>
                <w:sz w:val="21"/>
                <w:szCs w:val="21"/>
                <w:lang w:eastAsia="en-GB"/>
              </w:rPr>
              <w:t xml:space="preserve">ditambah </w:t>
            </w:r>
            <w:r>
              <w:rPr>
                <w:rFonts w:ascii="Arial" w:hAnsi="Arial" w:cs="Arial"/>
                <w:iCs/>
                <w:sz w:val="21"/>
                <w:szCs w:val="21"/>
                <w:lang w:eastAsia="en-GB"/>
              </w:rPr>
              <w:t>[enam (6)]-bulan</w:t>
            </w:r>
            <w:r>
              <w:rPr>
                <w:rFonts w:ascii="Arial" w:hAnsi="Arial" w:cs="Arial"/>
                <w:sz w:val="21"/>
                <w:szCs w:val="21"/>
                <w:lang w:eastAsia="en-GB"/>
              </w:rPr>
              <w:t xml:space="preserve"> (atau setiap periode lainnya yang disepakati antara Debitur dan Agen </w:t>
            </w:r>
            <w:r>
              <w:rPr>
                <w:rFonts w:ascii="Arial" w:hAnsi="Arial" w:cs="Arial"/>
                <w:sz w:val="21"/>
                <w:szCs w:val="21"/>
                <w:lang w:val="en-US" w:eastAsia="en-GB"/>
              </w:rPr>
              <w:t>Antarkreditur</w:t>
            </w:r>
            <w:r>
              <w:rPr>
                <w:rFonts w:ascii="Arial" w:hAnsi="Arial" w:cs="Arial"/>
                <w:sz w:val="21"/>
                <w:szCs w:val="21"/>
                <w:lang w:eastAsia="en-GB"/>
              </w:rPr>
              <w:t>) [</w:t>
            </w:r>
            <w:r>
              <w:rPr>
                <w:rFonts w:ascii="Arial" w:hAnsi="Arial" w:cs="Arial"/>
                <w:i/>
                <w:iCs/>
                <w:sz w:val="21"/>
                <w:szCs w:val="21"/>
                <w:lang w:eastAsia="en-GB"/>
              </w:rPr>
              <w:t>masukkan tolok ukur yang berlaku</w:t>
            </w:r>
            <w:r>
              <w:rPr>
                <w:rFonts w:ascii="Arial" w:hAnsi="Arial" w:cs="Arial"/>
                <w:sz w:val="21"/>
                <w:szCs w:val="21"/>
                <w:lang w:eastAsia="en-GB"/>
              </w:rPr>
              <w:t>]</w:t>
            </w:r>
            <w:r>
              <w:rPr>
                <w:rStyle w:val="25"/>
                <w:rFonts w:ascii="Arial" w:hAnsi="Arial" w:cs="Arial"/>
                <w:sz w:val="21"/>
                <w:szCs w:val="21"/>
                <w:lang w:eastAsia="en-GB"/>
              </w:rPr>
              <w:footnoteReference w:id="59"/>
            </w:r>
            <w:r>
              <w:rPr>
                <w:rFonts w:ascii="Arial" w:hAnsi="Arial" w:cs="Arial"/>
                <w:sz w:val="21"/>
                <w:szCs w:val="21"/>
                <w:lang w:eastAsia="en-GB"/>
              </w:rPr>
              <w:t xml:space="preserve">  yang dihitung berdasarkan</w:t>
            </w:r>
            <w:r>
              <w:rPr>
                <w:rFonts w:ascii="Arial" w:hAnsi="Arial" w:cs="Arial"/>
                <w:sz w:val="21"/>
                <w:szCs w:val="21"/>
              </w:rPr>
              <w:t xml:space="preserve"> jumlah hari sebenarnya yang telah berlalu pada setiap Periode Bunga dan dalam waktu satu tahun yang terdiri dari [360/365] hari</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66" w:type="pct"/>
          </w:tcPr>
          <w:p>
            <w:pPr>
              <w:pStyle w:val="103"/>
              <w:widowControl w:val="0"/>
              <w:tabs>
                <w:tab w:val="clear" w:pos="766"/>
              </w:tabs>
              <w:spacing w:after="120"/>
              <w:ind w:left="720" w:hanging="720"/>
              <w:rPr>
                <w:rFonts w:ascii="Arial" w:hAnsi="Arial" w:cs="Arial"/>
                <w:b/>
                <w:sz w:val="21"/>
                <w:szCs w:val="21"/>
              </w:rPr>
            </w:pPr>
            <w:r>
              <w:rPr>
                <w:rFonts w:ascii="Arial" w:hAnsi="Arial" w:cs="Arial"/>
                <w:b/>
                <w:sz w:val="21"/>
                <w:szCs w:val="21"/>
              </w:rPr>
              <w:t>Periode Bunga:</w:t>
            </w:r>
          </w:p>
        </w:tc>
        <w:tc>
          <w:tcPr>
            <w:tcW w:w="2934" w:type="pct"/>
          </w:tcPr>
          <w:p>
            <w:pPr>
              <w:pStyle w:val="3"/>
              <w:widowControl w:val="0"/>
              <w:spacing w:after="120"/>
              <w:ind w:left="0"/>
              <w:rPr>
                <w:rFonts w:ascii="Arial" w:hAnsi="Arial" w:cs="Arial"/>
                <w:sz w:val="21"/>
                <w:szCs w:val="21"/>
              </w:rPr>
            </w:pPr>
            <w:r>
              <w:rPr>
                <w:rFonts w:ascii="Arial" w:hAnsi="Arial" w:cs="Arial"/>
                <w:sz w:val="21"/>
                <w:szCs w:val="21"/>
              </w:rPr>
              <w:t xml:space="preserve">[Enam (6)] Bulan atau setiap periode lainnya yang disepakati antara Debitur dan Agen </w:t>
            </w:r>
            <w:r>
              <w:rPr>
                <w:rFonts w:ascii="Arial" w:hAnsi="Arial" w:cs="Arial"/>
                <w:sz w:val="21"/>
                <w:szCs w:val="21"/>
                <w:lang w:val="en-US"/>
              </w:rPr>
              <w:t>Antarkreditur</w:t>
            </w:r>
            <w:r>
              <w:rPr>
                <w:rFonts w:ascii="Arial" w:hAnsi="Arial" w:cs="Arial"/>
                <w:sz w:val="21"/>
                <w:szCs w:val="21"/>
              </w:rPr>
              <w:t>.</w:t>
            </w:r>
          </w:p>
        </w:tc>
      </w:tr>
      <w:tr>
        <w:tblPrEx>
          <w:tblCellMar>
            <w:top w:w="0" w:type="dxa"/>
            <w:left w:w="108" w:type="dxa"/>
            <w:bottom w:w="0" w:type="dxa"/>
            <w:right w:w="108" w:type="dxa"/>
          </w:tblCellMar>
        </w:tblPrEx>
        <w:trPr>
          <w:cantSplit/>
        </w:trPr>
        <w:tc>
          <w:tcPr>
            <w:tcW w:w="2066" w:type="pct"/>
          </w:tcPr>
          <w:p>
            <w:pPr>
              <w:pStyle w:val="103"/>
              <w:widowControl w:val="0"/>
              <w:tabs>
                <w:tab w:val="clear" w:pos="766"/>
              </w:tabs>
              <w:spacing w:after="120"/>
              <w:ind w:left="720" w:hanging="720"/>
              <w:rPr>
                <w:rFonts w:ascii="Arial" w:hAnsi="Arial" w:cs="Arial"/>
                <w:b/>
                <w:sz w:val="21"/>
                <w:szCs w:val="21"/>
              </w:rPr>
            </w:pPr>
            <w:r>
              <w:rPr>
                <w:rFonts w:ascii="Arial" w:hAnsi="Arial" w:cs="Arial"/>
                <w:b/>
                <w:sz w:val="21"/>
                <w:szCs w:val="21"/>
              </w:rPr>
              <w:t>Biaya-biaya:</w:t>
            </w:r>
          </w:p>
        </w:tc>
        <w:tc>
          <w:tcPr>
            <w:tcW w:w="2934" w:type="pct"/>
          </w:tcPr>
          <w:p>
            <w:pPr>
              <w:widowControl w:val="0"/>
              <w:spacing w:after="120"/>
              <w:rPr>
                <w:rFonts w:ascii="Arial" w:hAnsi="Arial" w:cs="Arial"/>
                <w:sz w:val="21"/>
                <w:szCs w:val="21"/>
                <w:lang w:eastAsia="en-GB"/>
              </w:rPr>
            </w:pPr>
            <w:r>
              <w:rPr>
                <w:rFonts w:ascii="Arial" w:hAnsi="Arial" w:cs="Arial"/>
                <w:i/>
                <w:sz w:val="21"/>
                <w:szCs w:val="21"/>
                <w:lang w:eastAsia="en-GB"/>
              </w:rPr>
              <w:t>Biaya Komitmen</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66" w:type="pct"/>
          </w:tcPr>
          <w:p>
            <w:pPr>
              <w:widowControl w:val="0"/>
              <w:spacing w:after="120"/>
              <w:rPr>
                <w:rFonts w:ascii="Arial" w:hAnsi="Arial" w:cs="Arial"/>
                <w:i/>
                <w:sz w:val="21"/>
                <w:szCs w:val="21"/>
                <w:lang w:eastAsia="en-GB"/>
              </w:rPr>
            </w:pPr>
          </w:p>
        </w:tc>
        <w:tc>
          <w:tcPr>
            <w:tcW w:w="2934" w:type="pct"/>
          </w:tcPr>
          <w:p>
            <w:pPr>
              <w:pStyle w:val="99"/>
              <w:widowControl w:val="0"/>
              <w:tabs>
                <w:tab w:val="clear" w:pos="720"/>
              </w:tabs>
              <w:spacing w:after="120"/>
              <w:rPr>
                <w:rFonts w:ascii="Arial" w:hAnsi="Arial" w:cs="Arial"/>
                <w:sz w:val="21"/>
                <w:szCs w:val="21"/>
              </w:rPr>
            </w:pPr>
            <w:r>
              <w:rPr>
                <w:rFonts w:ascii="Arial" w:hAnsi="Arial" w:cs="Arial"/>
                <w:sz w:val="21"/>
                <w:szCs w:val="21"/>
              </w:rPr>
              <w:t>[•]% per tahun berdasarkan bagian dari jumlah fasilitas yang belum ditarik dan belum dibatalkan.</w:t>
            </w:r>
          </w:p>
        </w:tc>
      </w:tr>
      <w:tr>
        <w:tblPrEx>
          <w:tblCellMar>
            <w:top w:w="0" w:type="dxa"/>
            <w:left w:w="108" w:type="dxa"/>
            <w:bottom w:w="0" w:type="dxa"/>
            <w:right w:w="108" w:type="dxa"/>
          </w:tblCellMar>
        </w:tblPrEx>
        <w:trPr>
          <w:cantSplit/>
        </w:trPr>
        <w:tc>
          <w:tcPr>
            <w:tcW w:w="2066" w:type="pct"/>
          </w:tcPr>
          <w:p>
            <w:pPr>
              <w:widowControl w:val="0"/>
              <w:spacing w:after="120"/>
              <w:rPr>
                <w:rFonts w:ascii="Arial" w:hAnsi="Arial" w:cs="Arial"/>
                <w:i/>
                <w:sz w:val="21"/>
                <w:szCs w:val="21"/>
                <w:lang w:eastAsia="en-GB"/>
              </w:rPr>
            </w:pPr>
          </w:p>
        </w:tc>
        <w:tc>
          <w:tcPr>
            <w:tcW w:w="2934" w:type="pct"/>
          </w:tcPr>
          <w:p>
            <w:pPr>
              <w:pStyle w:val="99"/>
              <w:widowControl w:val="0"/>
              <w:tabs>
                <w:tab w:val="clear" w:pos="720"/>
              </w:tabs>
              <w:spacing w:after="120"/>
              <w:rPr>
                <w:rFonts w:ascii="Arial" w:hAnsi="Arial" w:cs="Arial"/>
                <w:sz w:val="21"/>
                <w:szCs w:val="21"/>
              </w:rPr>
            </w:pPr>
            <w:r>
              <w:rPr>
                <w:rFonts w:ascii="Arial" w:hAnsi="Arial" w:cs="Arial"/>
                <w:sz w:val="21"/>
                <w:szCs w:val="21"/>
              </w:rPr>
              <w:t>Biaya-biaya Komitmen akan bertambah pada dan sejak [</w:t>
            </w:r>
            <w:r>
              <w:rPr>
                <w:rFonts w:ascii="Arial" w:hAnsi="Arial" w:cs="Arial"/>
                <w:i/>
                <w:sz w:val="21"/>
                <w:szCs w:val="21"/>
              </w:rPr>
              <w:t>awal Periode Ketersediaan Fasilitas Modal Kerja</w:t>
            </w:r>
            <w:r>
              <w:rPr>
                <w:rFonts w:ascii="Arial" w:hAnsi="Arial" w:cs="Arial"/>
                <w:sz w:val="21"/>
                <w:szCs w:val="21"/>
              </w:rPr>
              <w:t>] sampai dengan hari terakhir Periode Ketersediaan Fasilitas Modal Kerja dan harus dibayar pada setiap Tanggal Pembayaran Bunga, pada hari terakhir Periode Ketersediaan Fasilitas Modal Kerja dan berdasarkan jumlah yang dibatalkan atas Fasilitas Modal Kerja pada saat berlakunya pembatalan secara penuh, yang tertunggak.</w:t>
            </w:r>
          </w:p>
        </w:tc>
      </w:tr>
      <w:tr>
        <w:tblPrEx>
          <w:tblCellMar>
            <w:top w:w="0" w:type="dxa"/>
            <w:left w:w="108" w:type="dxa"/>
            <w:bottom w:w="0" w:type="dxa"/>
            <w:right w:w="108" w:type="dxa"/>
          </w:tblCellMar>
        </w:tblPrEx>
        <w:trPr>
          <w:cantSplit/>
        </w:trPr>
        <w:tc>
          <w:tcPr>
            <w:tcW w:w="2066" w:type="pct"/>
          </w:tcPr>
          <w:p>
            <w:pPr>
              <w:widowControl w:val="0"/>
              <w:spacing w:after="120"/>
              <w:rPr>
                <w:rFonts w:ascii="Arial" w:hAnsi="Arial" w:cs="Arial"/>
                <w:i/>
                <w:sz w:val="21"/>
                <w:szCs w:val="21"/>
                <w:lang w:eastAsia="en-GB"/>
              </w:rPr>
            </w:pPr>
          </w:p>
        </w:tc>
        <w:tc>
          <w:tcPr>
            <w:tcW w:w="2934" w:type="pct"/>
          </w:tcPr>
          <w:p>
            <w:pPr>
              <w:widowControl w:val="0"/>
              <w:spacing w:after="120"/>
              <w:rPr>
                <w:rFonts w:ascii="Arial" w:hAnsi="Arial" w:cs="Arial"/>
                <w:i/>
                <w:sz w:val="21"/>
                <w:szCs w:val="21"/>
                <w:lang w:eastAsia="en-GB"/>
              </w:rPr>
            </w:pPr>
            <w:r>
              <w:rPr>
                <w:rFonts w:ascii="Arial" w:hAnsi="Arial" w:cs="Arial"/>
                <w:sz w:val="21"/>
                <w:szCs w:val="21"/>
              </w:rPr>
              <w:t>[</w:t>
            </w:r>
            <w:r>
              <w:rPr>
                <w:rFonts w:ascii="Arial" w:hAnsi="Arial" w:cs="Arial"/>
                <w:i/>
                <w:iCs/>
                <w:sz w:val="21"/>
                <w:szCs w:val="21"/>
              </w:rPr>
              <w:t>Biaya-biaya lain akan dimasukkan, antara lain biaya-biaya keagenan</w:t>
            </w:r>
            <w:r>
              <w:rPr>
                <w:rFonts w:ascii="Arial" w:hAnsi="Arial" w:cs="Arial"/>
                <w:sz w:val="21"/>
                <w:szCs w:val="21"/>
              </w:rPr>
              <w:t>]</w:t>
            </w:r>
          </w:p>
        </w:tc>
      </w:tr>
      <w:tr>
        <w:tblPrEx>
          <w:tblCellMar>
            <w:top w:w="0" w:type="dxa"/>
            <w:left w:w="108" w:type="dxa"/>
            <w:bottom w:w="0" w:type="dxa"/>
            <w:right w:w="108" w:type="dxa"/>
          </w:tblCellMar>
        </w:tblPrEx>
        <w:tc>
          <w:tcPr>
            <w:tcW w:w="2066" w:type="pct"/>
          </w:tcPr>
          <w:p>
            <w:pPr>
              <w:pStyle w:val="103"/>
              <w:tabs>
                <w:tab w:val="clear" w:pos="766"/>
              </w:tabs>
              <w:spacing w:after="120"/>
              <w:ind w:left="720" w:hanging="720"/>
              <w:rPr>
                <w:rFonts w:ascii="Arial" w:hAnsi="Arial" w:cs="Arial"/>
                <w:b/>
                <w:bCs/>
                <w:sz w:val="21"/>
                <w:szCs w:val="21"/>
              </w:rPr>
            </w:pPr>
            <w:bookmarkStart w:id="50" w:name="_9kMH1G7ZVw8EB79G"/>
            <w:bookmarkStart w:id="51" w:name="_9kMH1I6ZWu8EB7DN"/>
            <w:r>
              <w:rPr>
                <w:rFonts w:ascii="Arial" w:hAnsi="Arial" w:cs="Arial"/>
                <w:b/>
                <w:bCs/>
                <w:sz w:val="21"/>
                <w:szCs w:val="21"/>
              </w:rPr>
              <w:t>[</w:t>
            </w:r>
            <w:bookmarkEnd w:id="50"/>
            <w:bookmarkEnd w:id="51"/>
            <w:r>
              <w:rPr>
                <w:rFonts w:ascii="Arial" w:hAnsi="Arial" w:cs="Arial"/>
                <w:b/>
                <w:sz w:val="21"/>
                <w:szCs w:val="21"/>
              </w:rPr>
              <w:t>Biaya</w:t>
            </w:r>
            <w:r>
              <w:rPr>
                <w:rFonts w:ascii="Arial" w:hAnsi="Arial" w:cs="Arial"/>
                <w:b/>
                <w:bCs/>
                <w:sz w:val="21"/>
                <w:szCs w:val="21"/>
              </w:rPr>
              <w:t xml:space="preserve"> </w:t>
            </w:r>
            <w:r>
              <w:rPr>
                <w:rFonts w:ascii="Arial" w:hAnsi="Arial" w:cs="Arial"/>
                <w:b/>
                <w:bCs/>
                <w:i/>
                <w:sz w:val="21"/>
                <w:szCs w:val="21"/>
              </w:rPr>
              <w:t>Letter of Credit</w:t>
            </w:r>
            <w:r>
              <w:rPr>
                <w:rFonts w:ascii="Arial" w:hAnsi="Arial" w:cs="Arial"/>
                <w:b/>
                <w:bCs/>
                <w:sz w:val="21"/>
                <w:szCs w:val="21"/>
              </w:rPr>
              <w:t>:</w:t>
            </w:r>
            <w:bookmarkStart w:id="52" w:name="_9kP4WSt67347EIK"/>
            <w:bookmarkStart w:id="53" w:name="_9kR3WTr6734BLLK"/>
            <w:r>
              <w:rPr>
                <w:rStyle w:val="25"/>
                <w:rFonts w:ascii="Arial" w:hAnsi="Arial" w:cs="Arial"/>
                <w:b/>
                <w:bCs/>
                <w:sz w:val="21"/>
                <w:szCs w:val="21"/>
              </w:rPr>
              <w:footnoteReference w:id="60"/>
            </w:r>
            <w:bookmarkEnd w:id="52"/>
            <w:bookmarkEnd w:id="53"/>
          </w:p>
        </w:tc>
        <w:tc>
          <w:tcPr>
            <w:tcW w:w="2934" w:type="pct"/>
          </w:tcPr>
          <w:p>
            <w:pPr>
              <w:pStyle w:val="3"/>
              <w:widowControl w:val="0"/>
              <w:spacing w:after="120"/>
              <w:ind w:left="0"/>
              <w:rPr>
                <w:rFonts w:ascii="Arial" w:hAnsi="Arial" w:cs="Arial"/>
                <w:sz w:val="21"/>
                <w:szCs w:val="21"/>
              </w:rPr>
            </w:pPr>
            <w:r>
              <w:rPr>
                <w:rFonts w:ascii="Arial" w:hAnsi="Arial" w:cs="Arial"/>
                <w:sz w:val="21"/>
                <w:szCs w:val="21"/>
              </w:rPr>
              <w:t xml:space="preserve">[   ]% per tahun harus dibayar setiap tiga bulan [di belakang/di muka] (atau periode yang lebih singkat yang berakhir pada tanggal berakhir terkait). Biaya </w:t>
            </w:r>
            <w:r>
              <w:rPr>
                <w:rFonts w:ascii="Arial" w:hAnsi="Arial" w:cs="Arial"/>
                <w:i/>
                <w:sz w:val="21"/>
                <w:szCs w:val="21"/>
              </w:rPr>
              <w:t>letter of credit</w:t>
            </w:r>
            <w:r>
              <w:rPr>
                <w:rFonts w:ascii="Arial" w:hAnsi="Arial" w:cs="Arial"/>
                <w:sz w:val="21"/>
                <w:szCs w:val="21"/>
              </w:rPr>
              <w:t xml:space="preserve"> yang terakumulasi juga harus dibayar berdasarkan jumlah yang dibatalkan atas setiap Komitmen [Fasilitas Modal Kerja] dari setiap Kreditur pada saat berlakunya pembatalan penuh.</w:t>
            </w:r>
            <w:bookmarkStart w:id="54" w:name="_9kMKH6YUv7DA69D"/>
            <w:bookmarkStart w:id="55" w:name="_9kMKJ5YVt7DA6DK"/>
            <w:r>
              <w:rPr>
                <w:rFonts w:ascii="Arial" w:hAnsi="Arial" w:cs="Arial"/>
                <w:sz w:val="21"/>
                <w:szCs w:val="21"/>
              </w:rPr>
              <w:t>]</w:t>
            </w:r>
            <w:bookmarkEnd w:id="54"/>
            <w:bookmarkEnd w:id="55"/>
            <w:r>
              <w:rPr>
                <w:rFonts w:ascii="Arial" w:hAnsi="Arial" w:cs="Arial"/>
                <w:sz w:val="21"/>
                <w:szCs w:val="21"/>
              </w:rPr>
              <w:t xml:space="preserve">  </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bCs/>
                <w:sz w:val="21"/>
                <w:szCs w:val="21"/>
              </w:rPr>
            </w:pPr>
            <w:r>
              <w:rPr>
                <w:rFonts w:ascii="Arial" w:hAnsi="Arial" w:cs="Arial"/>
                <w:b/>
                <w:sz w:val="21"/>
                <w:szCs w:val="21"/>
              </w:rPr>
              <w:t>Periode</w:t>
            </w:r>
            <w:r>
              <w:rPr>
                <w:rFonts w:ascii="Arial" w:hAnsi="Arial" w:cs="Arial"/>
                <w:b/>
                <w:bCs/>
                <w:sz w:val="21"/>
                <w:szCs w:val="21"/>
              </w:rPr>
              <w:t xml:space="preserve"> Ketersediaan:</w:t>
            </w:r>
          </w:p>
        </w:tc>
        <w:tc>
          <w:tcPr>
            <w:tcW w:w="2934" w:type="pct"/>
          </w:tcPr>
          <w:p>
            <w:pPr>
              <w:pStyle w:val="3"/>
              <w:widowControl w:val="0"/>
              <w:spacing w:after="120"/>
              <w:ind w:left="0"/>
              <w:rPr>
                <w:rFonts w:ascii="Arial" w:hAnsi="Arial" w:cs="Arial"/>
                <w:sz w:val="21"/>
                <w:szCs w:val="21"/>
              </w:rPr>
            </w:pPr>
            <w:r>
              <w:rPr>
                <w:rFonts w:ascii="Arial" w:hAnsi="Arial" w:cs="Arial"/>
                <w:sz w:val="21"/>
                <w:szCs w:val="21"/>
              </w:rPr>
              <w:t>Sejak [tanggal Perjanjian]/[Tanggal Operasi Komersial]</w:t>
            </w:r>
            <w:r>
              <w:rPr>
                <w:rStyle w:val="25"/>
                <w:rFonts w:ascii="Arial" w:hAnsi="Arial" w:cs="Arial"/>
                <w:sz w:val="21"/>
                <w:szCs w:val="21"/>
              </w:rPr>
              <w:footnoteReference w:id="61"/>
            </w:r>
            <w:r>
              <w:rPr>
                <w:rFonts w:ascii="Arial" w:hAnsi="Arial" w:cs="Arial"/>
                <w:sz w:val="21"/>
                <w:szCs w:val="21"/>
              </w:rPr>
              <w:t xml:space="preserve"> sampai dengan [•]. </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bCs/>
                <w:sz w:val="21"/>
                <w:szCs w:val="21"/>
              </w:rPr>
            </w:pPr>
            <w:r>
              <w:rPr>
                <w:rFonts w:ascii="Arial" w:hAnsi="Arial" w:cs="Arial"/>
                <w:b/>
                <w:sz w:val="21"/>
                <w:szCs w:val="21"/>
              </w:rPr>
              <w:t>Jumlah</w:t>
            </w:r>
            <w:r>
              <w:rPr>
                <w:rFonts w:ascii="Arial" w:hAnsi="Arial" w:cs="Arial"/>
                <w:b/>
                <w:bCs/>
                <w:sz w:val="21"/>
                <w:szCs w:val="21"/>
              </w:rPr>
              <w:t xml:space="preserve"> Minimal Setiap Penggunaan:</w:t>
            </w:r>
          </w:p>
        </w:tc>
        <w:tc>
          <w:tcPr>
            <w:tcW w:w="2934" w:type="pct"/>
          </w:tcPr>
          <w:p>
            <w:pPr>
              <w:pStyle w:val="3"/>
              <w:widowControl w:val="0"/>
              <w:spacing w:after="120"/>
              <w:ind w:left="0"/>
              <w:rPr>
                <w:rFonts w:ascii="Arial" w:hAnsi="Arial" w:cs="Arial"/>
                <w:sz w:val="21"/>
                <w:szCs w:val="21"/>
              </w:rPr>
            </w:pPr>
            <w:r>
              <w:rPr>
                <w:rFonts w:ascii="Arial" w:hAnsi="Arial" w:cs="Arial"/>
                <w:sz w:val="21"/>
                <w:szCs w:val="21"/>
              </w:rPr>
              <w:t>Setiap Penggunaan harus dalam jumlah minimal sebesar [</w:t>
            </w:r>
            <w:r>
              <w:rPr>
                <w:rFonts w:ascii="Arial" w:hAnsi="Arial" w:cs="Arial"/>
                <w:i/>
                <w:sz w:val="21"/>
                <w:szCs w:val="21"/>
              </w:rPr>
              <w:t>masukkan jumlah</w:t>
            </w:r>
            <w:r>
              <w:rPr>
                <w:rFonts w:ascii="Arial" w:hAnsi="Arial" w:cs="Arial"/>
                <w:sz w:val="21"/>
                <w:szCs w:val="21"/>
              </w:rPr>
              <w:t>].</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bCs/>
                <w:sz w:val="21"/>
                <w:szCs w:val="21"/>
              </w:rPr>
            </w:pPr>
            <w:r>
              <w:rPr>
                <w:rFonts w:ascii="Arial" w:hAnsi="Arial" w:cs="Arial"/>
                <w:b/>
                <w:sz w:val="21"/>
                <w:szCs w:val="21"/>
              </w:rPr>
              <w:t>Frekuensi</w:t>
            </w:r>
            <w:r>
              <w:rPr>
                <w:rFonts w:ascii="Arial" w:hAnsi="Arial" w:cs="Arial"/>
                <w:b/>
                <w:bCs/>
                <w:sz w:val="21"/>
                <w:szCs w:val="21"/>
              </w:rPr>
              <w:t xml:space="preserve"> Penggunaan-penggunaan:</w:t>
            </w:r>
          </w:p>
        </w:tc>
        <w:tc>
          <w:tcPr>
            <w:tcW w:w="2934" w:type="pct"/>
          </w:tcPr>
          <w:p>
            <w:pPr>
              <w:pStyle w:val="3"/>
              <w:widowControl w:val="0"/>
              <w:spacing w:after="120"/>
              <w:ind w:left="0"/>
              <w:rPr>
                <w:rFonts w:ascii="Arial" w:hAnsi="Arial" w:cs="Arial"/>
                <w:sz w:val="21"/>
                <w:szCs w:val="21"/>
              </w:rPr>
            </w:pPr>
            <w:r>
              <w:rPr>
                <w:rFonts w:ascii="Arial" w:hAnsi="Arial" w:cs="Arial"/>
                <w:sz w:val="21"/>
                <w:szCs w:val="21"/>
              </w:rPr>
              <w:t>Penggunaan-(penggunaan) dapat dimohonkan tidak lebih dari [</w:t>
            </w:r>
            <w:bookmarkStart w:id="56" w:name="_9kMH6N6ZWu9A67EI"/>
            <w:bookmarkStart w:id="57" w:name="_9kMH6L7ZVw9A67AB"/>
            <w:r>
              <w:rPr>
                <w:rFonts w:ascii="Arial" w:hAnsi="Arial" w:cs="Arial"/>
                <w:sz w:val="21"/>
                <w:szCs w:val="21"/>
              </w:rPr>
              <w:t>•</w:t>
            </w:r>
            <w:bookmarkEnd w:id="56"/>
            <w:bookmarkEnd w:id="57"/>
            <w:r>
              <w:rPr>
                <w:rFonts w:ascii="Arial" w:hAnsi="Arial" w:cs="Arial"/>
                <w:sz w:val="21"/>
                <w:szCs w:val="21"/>
              </w:rPr>
              <w:t>] kali pada masing-masing bulan kalender</w:t>
            </w:r>
            <w:r>
              <w:rPr>
                <w:rStyle w:val="25"/>
                <w:rFonts w:ascii="Arial" w:hAnsi="Arial" w:cs="Arial"/>
                <w:sz w:val="21"/>
                <w:szCs w:val="21"/>
              </w:rPr>
              <w:footnoteReference w:id="62"/>
            </w:r>
            <w:r>
              <w:rPr>
                <w:rFonts w:ascii="Arial" w:hAnsi="Arial" w:cs="Arial"/>
                <w:sz w:val="21"/>
                <w:szCs w:val="21"/>
              </w:rPr>
              <w:t>.</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bCs/>
                <w:sz w:val="21"/>
                <w:szCs w:val="21"/>
              </w:rPr>
            </w:pPr>
            <w:r>
              <w:rPr>
                <w:rFonts w:ascii="Arial" w:hAnsi="Arial" w:cs="Arial"/>
                <w:b/>
                <w:sz w:val="21"/>
                <w:szCs w:val="21"/>
              </w:rPr>
              <w:t>Tujuan</w:t>
            </w:r>
            <w:r>
              <w:rPr>
                <w:rFonts w:ascii="Arial" w:hAnsi="Arial" w:cs="Arial"/>
                <w:b/>
                <w:bCs/>
                <w:sz w:val="21"/>
                <w:szCs w:val="21"/>
              </w:rPr>
              <w:t>:</w:t>
            </w:r>
          </w:p>
        </w:tc>
        <w:tc>
          <w:tcPr>
            <w:tcW w:w="2934" w:type="pct"/>
          </w:tcPr>
          <w:p>
            <w:pPr>
              <w:pStyle w:val="3"/>
              <w:widowControl w:val="0"/>
              <w:spacing w:after="120"/>
              <w:ind w:left="0"/>
              <w:rPr>
                <w:rFonts w:ascii="Arial" w:hAnsi="Arial" w:cs="Arial"/>
                <w:i/>
                <w:iCs/>
                <w:sz w:val="21"/>
                <w:szCs w:val="21"/>
              </w:rPr>
            </w:pPr>
            <w:r>
              <w:rPr>
                <w:rFonts w:ascii="Arial" w:hAnsi="Arial" w:cs="Arial"/>
                <w:sz w:val="21"/>
                <w:szCs w:val="21"/>
              </w:rPr>
              <w:t>Untuk mendanai kebutuhan-kebutuhan modal kerja Proyek [</w:t>
            </w:r>
            <w:r>
              <w:rPr>
                <w:rFonts w:ascii="Arial" w:hAnsi="Arial" w:cs="Arial"/>
                <w:i/>
                <w:iCs/>
                <w:sz w:val="21"/>
                <w:szCs w:val="21"/>
              </w:rPr>
              <w:t xml:space="preserve">sampai dengan </w:t>
            </w:r>
            <w:r>
              <w:rPr>
                <w:rFonts w:ascii="Arial" w:hAnsi="Arial" w:cs="Arial"/>
                <w:sz w:val="21"/>
                <w:szCs w:val="21"/>
              </w:rPr>
              <w:t>[</w:t>
            </w:r>
            <w:r>
              <w:rPr>
                <w:rFonts w:ascii="Arial" w:hAnsi="Arial" w:cs="Arial"/>
                <w:i/>
                <w:iCs/>
                <w:sz w:val="21"/>
                <w:szCs w:val="21"/>
              </w:rPr>
              <w:t>masukkan tanggal</w:t>
            </w:r>
            <w:r>
              <w:rPr>
                <w:rFonts w:ascii="Arial" w:hAnsi="Arial" w:cs="Arial"/>
                <w:sz w:val="21"/>
                <w:szCs w:val="21"/>
              </w:rPr>
              <w:t>]].</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w:t>
            </w:r>
            <w:r>
              <w:rPr>
                <w:rFonts w:ascii="Arial" w:hAnsi="Arial" w:cs="Arial"/>
                <w:b/>
                <w:bCs/>
                <w:i/>
                <w:sz w:val="21"/>
                <w:szCs w:val="21"/>
              </w:rPr>
              <w:t>Clean Down</w:t>
            </w:r>
            <w:r>
              <w:rPr>
                <w:rFonts w:ascii="Arial" w:hAnsi="Arial" w:cs="Arial"/>
                <w:b/>
                <w:bCs/>
                <w:sz w:val="21"/>
                <w:szCs w:val="21"/>
              </w:rPr>
              <w:t>:</w:t>
            </w:r>
          </w:p>
        </w:tc>
        <w:tc>
          <w:tcPr>
            <w:tcW w:w="2934" w:type="pct"/>
          </w:tcPr>
          <w:p>
            <w:pPr>
              <w:pStyle w:val="3"/>
              <w:widowControl w:val="0"/>
              <w:spacing w:after="120"/>
              <w:ind w:left="0"/>
              <w:rPr>
                <w:rFonts w:ascii="Arial" w:hAnsi="Arial" w:cs="Arial"/>
                <w:sz w:val="21"/>
                <w:szCs w:val="21"/>
              </w:rPr>
            </w:pPr>
            <w:r>
              <w:rPr>
                <w:rFonts w:ascii="Arial" w:hAnsi="Arial" w:cs="Arial"/>
                <w:sz w:val="21"/>
                <w:szCs w:val="21"/>
              </w:rPr>
              <w:t>[</w:t>
            </w:r>
            <w:r>
              <w:rPr>
                <w:rFonts w:ascii="Arial" w:hAnsi="Arial" w:cs="Arial"/>
                <w:i/>
                <w:iCs/>
                <w:sz w:val="21"/>
                <w:szCs w:val="21"/>
              </w:rPr>
              <w:t xml:space="preserve">masukkan ketentuan mengenai </w:t>
            </w:r>
            <w:r>
              <w:rPr>
                <w:rFonts w:ascii="Arial" w:hAnsi="Arial" w:cs="Arial"/>
                <w:iCs/>
                <w:sz w:val="21"/>
                <w:szCs w:val="21"/>
              </w:rPr>
              <w:t xml:space="preserve">clean-down </w:t>
            </w:r>
            <w:r>
              <w:rPr>
                <w:rFonts w:ascii="Arial" w:hAnsi="Arial" w:cs="Arial"/>
                <w:i/>
                <w:iCs/>
                <w:sz w:val="21"/>
                <w:szCs w:val="21"/>
              </w:rPr>
              <w:t>tahunan</w:t>
            </w:r>
            <w:r>
              <w:rPr>
                <w:rFonts w:ascii="Arial" w:hAnsi="Arial" w:cs="Arial"/>
                <w:sz w:val="21"/>
                <w:szCs w:val="21"/>
              </w:rPr>
              <w:t>].]</w:t>
            </w:r>
          </w:p>
        </w:tc>
      </w:tr>
    </w:tbl>
    <w:p>
      <w:pPr>
        <w:pStyle w:val="105"/>
        <w:spacing w:after="120"/>
        <w:rPr>
          <w:rFonts w:ascii="Arial" w:hAnsi="Arial" w:cs="Arial"/>
          <w:sz w:val="21"/>
          <w:szCs w:val="21"/>
          <w:lang w:eastAsia="zh-CN"/>
        </w:rPr>
      </w:pPr>
      <w:bookmarkStart w:id="58" w:name="_9kMH2J6ZWu8EB7DN"/>
      <w:bookmarkStart w:id="59" w:name="_9kMH2H7ZVw8EB79G"/>
      <w:bookmarkStart w:id="60" w:name="_Toc74860674"/>
      <w:bookmarkStart w:id="61" w:name="_Toc74557528"/>
      <w:r>
        <w:rPr>
          <w:rFonts w:ascii="Arial" w:hAnsi="Arial" w:cs="Arial"/>
          <w:sz w:val="21"/>
          <w:szCs w:val="21"/>
          <w:lang w:eastAsia="zh-CN"/>
        </w:rPr>
        <w:t>[</w:t>
      </w:r>
      <w:bookmarkEnd w:id="58"/>
      <w:bookmarkEnd w:id="59"/>
      <w:r>
        <w:rPr>
          <w:rFonts w:ascii="Arial" w:hAnsi="Arial" w:cs="Arial"/>
          <w:sz w:val="21"/>
          <w:szCs w:val="21"/>
          <w:lang w:eastAsia="zh-CN"/>
        </w:rPr>
        <w:t xml:space="preserve">FASILITAS </w:t>
      </w:r>
      <w:r>
        <w:rPr>
          <w:rFonts w:ascii="Arial" w:hAnsi="Arial" w:cs="Arial"/>
          <w:i/>
          <w:sz w:val="21"/>
          <w:szCs w:val="21"/>
          <w:lang w:eastAsia="zh-CN"/>
        </w:rPr>
        <w:t>STANDBY</w:t>
      </w:r>
      <w:bookmarkEnd w:id="60"/>
      <w:bookmarkEnd w:id="61"/>
    </w:p>
    <w:tbl>
      <w:tblPr>
        <w:tblStyle w:val="17"/>
        <w:tblW w:w="5000" w:type="pct"/>
        <w:tblInd w:w="-90" w:type="dxa"/>
        <w:tblLayout w:type="autofit"/>
        <w:tblCellMar>
          <w:top w:w="0" w:type="dxa"/>
          <w:left w:w="108" w:type="dxa"/>
          <w:bottom w:w="0" w:type="dxa"/>
          <w:right w:w="108" w:type="dxa"/>
        </w:tblCellMar>
      </w:tblPr>
      <w:tblGrid>
        <w:gridCol w:w="3670"/>
        <w:gridCol w:w="5213"/>
      </w:tblGrid>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Fasilitas:</w:t>
            </w:r>
          </w:p>
        </w:tc>
        <w:tc>
          <w:tcPr>
            <w:tcW w:w="2934" w:type="pct"/>
          </w:tcPr>
          <w:p>
            <w:pPr>
              <w:pStyle w:val="101"/>
              <w:spacing w:after="120"/>
              <w:rPr>
                <w:rFonts w:ascii="Arial" w:hAnsi="Arial" w:cs="Arial"/>
                <w:sz w:val="21"/>
                <w:szCs w:val="21"/>
              </w:rPr>
            </w:pPr>
            <w:r>
              <w:rPr>
                <w:rFonts w:ascii="Arial" w:hAnsi="Arial" w:cs="Arial"/>
                <w:sz w:val="21"/>
                <w:szCs w:val="21"/>
              </w:rPr>
              <w:t>Fasilitas pinjaman berjangka yang mungkin timbul di kemudian hari.</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Jumlah:</w:t>
            </w:r>
          </w:p>
        </w:tc>
        <w:tc>
          <w:tcPr>
            <w:tcW w:w="2934" w:type="pct"/>
          </w:tcPr>
          <w:p>
            <w:pPr>
              <w:pStyle w:val="101"/>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 mata uang dan jumlah fasilitas</w:t>
            </w:r>
            <w:r>
              <w:rPr>
                <w:rFonts w:ascii="Arial" w:hAnsi="Arial" w:cs="Arial"/>
                <w:sz w:val="21"/>
                <w:szCs w:val="21"/>
              </w:rPr>
              <w:t>].</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Margin:</w:t>
            </w:r>
          </w:p>
        </w:tc>
        <w:tc>
          <w:tcPr>
            <w:tcW w:w="2934" w:type="pct"/>
          </w:tcPr>
          <w:p>
            <w:pPr>
              <w:pStyle w:val="3"/>
              <w:widowControl w:val="0"/>
              <w:spacing w:after="120"/>
              <w:ind w:left="0"/>
              <w:rPr>
                <w:rFonts w:ascii="Arial" w:hAnsi="Arial" w:cs="Arial"/>
                <w:sz w:val="21"/>
                <w:szCs w:val="21"/>
              </w:rPr>
            </w:pPr>
            <w:r>
              <w:rPr>
                <w:rFonts w:ascii="Arial" w:hAnsi="Arial" w:cs="Arial"/>
                <w:sz w:val="21"/>
                <w:szCs w:val="21"/>
              </w:rPr>
              <w:t>[</w:t>
            </w:r>
            <w:r>
              <w:rPr>
                <w:rFonts w:ascii="Arial" w:hAnsi="Arial" w:cs="Arial"/>
                <w:sz w:val="21"/>
                <w:szCs w:val="21"/>
                <w:lang w:eastAsia="en-GB"/>
              </w:rPr>
              <w:t>●</w:t>
            </w:r>
            <w:r>
              <w:rPr>
                <w:rFonts w:ascii="Arial" w:hAnsi="Arial" w:cs="Arial"/>
                <w:sz w:val="21"/>
                <w:szCs w:val="21"/>
              </w:rPr>
              <w:t>]% per tahun.</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Suku Bunga:</w:t>
            </w:r>
          </w:p>
        </w:tc>
        <w:tc>
          <w:tcPr>
            <w:tcW w:w="2934" w:type="pct"/>
          </w:tcPr>
          <w:p>
            <w:pPr>
              <w:pStyle w:val="3"/>
              <w:widowControl w:val="0"/>
              <w:spacing w:after="120"/>
              <w:ind w:left="0"/>
              <w:rPr>
                <w:rFonts w:ascii="Arial" w:hAnsi="Arial" w:cs="Arial"/>
                <w:sz w:val="21"/>
                <w:szCs w:val="21"/>
              </w:rPr>
            </w:pPr>
            <w:r>
              <w:rPr>
                <w:rFonts w:ascii="Arial" w:hAnsi="Arial" w:cs="Arial"/>
                <w:sz w:val="21"/>
                <w:szCs w:val="21"/>
                <w:lang w:eastAsia="en-GB"/>
              </w:rPr>
              <w:t xml:space="preserve">Margin yang berlaku </w:t>
            </w:r>
            <w:r>
              <w:rPr>
                <w:rFonts w:ascii="Arial" w:hAnsi="Arial" w:cs="Arial"/>
                <w:i/>
                <w:sz w:val="21"/>
                <w:szCs w:val="21"/>
                <w:lang w:eastAsia="en-GB"/>
              </w:rPr>
              <w:t xml:space="preserve">ditambah </w:t>
            </w:r>
            <w:r>
              <w:rPr>
                <w:rFonts w:ascii="Arial" w:hAnsi="Arial" w:cs="Arial"/>
                <w:iCs/>
                <w:sz w:val="21"/>
                <w:szCs w:val="21"/>
                <w:lang w:eastAsia="en-GB"/>
              </w:rPr>
              <w:t>[enam (6)]-bulan</w:t>
            </w:r>
            <w:r>
              <w:rPr>
                <w:rFonts w:ascii="Arial" w:hAnsi="Arial" w:cs="Arial"/>
                <w:sz w:val="21"/>
                <w:szCs w:val="21"/>
                <w:lang w:eastAsia="en-GB"/>
              </w:rPr>
              <w:t xml:space="preserve"> (atau setiap periode lainnya yang disepakati antara Perusahaan Proyek dan Agen </w:t>
            </w:r>
            <w:r>
              <w:rPr>
                <w:rFonts w:ascii="Arial" w:hAnsi="Arial" w:cs="Arial"/>
                <w:sz w:val="21"/>
                <w:szCs w:val="21"/>
                <w:lang w:val="en-US" w:eastAsia="en-GB"/>
              </w:rPr>
              <w:t>Antarkreditur</w:t>
            </w:r>
            <w:r>
              <w:rPr>
                <w:rFonts w:ascii="Arial" w:hAnsi="Arial" w:cs="Arial"/>
                <w:sz w:val="21"/>
                <w:szCs w:val="21"/>
                <w:lang w:eastAsia="en-GB"/>
              </w:rPr>
              <w:t>) [</w:t>
            </w:r>
            <w:r>
              <w:rPr>
                <w:rFonts w:ascii="Arial" w:hAnsi="Arial" w:cs="Arial"/>
                <w:i/>
                <w:iCs/>
                <w:sz w:val="21"/>
                <w:szCs w:val="21"/>
                <w:lang w:eastAsia="en-GB"/>
              </w:rPr>
              <w:t>masukkan tolok ukur yang berlaku</w:t>
            </w:r>
            <w:r>
              <w:rPr>
                <w:rFonts w:ascii="Arial" w:hAnsi="Arial" w:cs="Arial"/>
                <w:sz w:val="21"/>
                <w:szCs w:val="21"/>
                <w:lang w:eastAsia="en-GB"/>
              </w:rPr>
              <w:t>]</w:t>
            </w:r>
            <w:r>
              <w:rPr>
                <w:rStyle w:val="25"/>
                <w:rFonts w:ascii="Arial" w:hAnsi="Arial" w:cs="Arial"/>
                <w:sz w:val="21"/>
                <w:szCs w:val="21"/>
                <w:lang w:eastAsia="en-GB"/>
              </w:rPr>
              <w:footnoteReference w:id="63"/>
            </w:r>
            <w:r>
              <w:rPr>
                <w:rFonts w:ascii="Arial" w:hAnsi="Arial" w:cs="Arial"/>
                <w:sz w:val="21"/>
                <w:szCs w:val="21"/>
                <w:lang w:eastAsia="en-GB"/>
              </w:rPr>
              <w:t xml:space="preserve">  yang dihitung berdasarkan</w:t>
            </w:r>
            <w:r>
              <w:rPr>
                <w:rFonts w:ascii="Arial" w:hAnsi="Arial" w:cs="Arial"/>
                <w:sz w:val="21"/>
                <w:szCs w:val="21"/>
              </w:rPr>
              <w:t xml:space="preserve"> jumlah hari sebenarnya yang telah berlalu pada setiap Periode Bunga dan dalam waktu satu tahun yang terdiri dari [360/365] hari</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Periode Bunga:</w:t>
            </w:r>
          </w:p>
        </w:tc>
        <w:tc>
          <w:tcPr>
            <w:tcW w:w="2934" w:type="pct"/>
          </w:tcPr>
          <w:p>
            <w:pPr>
              <w:pStyle w:val="3"/>
              <w:widowControl w:val="0"/>
              <w:spacing w:after="120"/>
              <w:ind w:left="0"/>
              <w:rPr>
                <w:rFonts w:ascii="Arial" w:hAnsi="Arial" w:cs="Arial"/>
                <w:b/>
                <w:bCs/>
                <w:sz w:val="21"/>
                <w:szCs w:val="21"/>
              </w:rPr>
            </w:pPr>
            <w:r>
              <w:rPr>
                <w:rFonts w:ascii="Arial" w:hAnsi="Arial" w:cs="Arial"/>
                <w:sz w:val="21"/>
                <w:szCs w:val="21"/>
              </w:rPr>
              <w:t xml:space="preserve">[Enam (6)] Bulan atau setiap periode lainnya yang disepakati antara Perusahaan Proyek dan Agen </w:t>
            </w:r>
            <w:bookmarkStart w:id="62" w:name="_9kMIH5YVt7FC6CF"/>
            <w:r>
              <w:rPr>
                <w:rFonts w:ascii="Arial" w:hAnsi="Arial" w:cs="Arial"/>
                <w:sz w:val="21"/>
                <w:szCs w:val="21"/>
                <w:lang w:val="en-US"/>
              </w:rPr>
              <w:t>Antarkreditur</w:t>
            </w:r>
            <w:r>
              <w:rPr>
                <w:rFonts w:ascii="Arial" w:hAnsi="Arial" w:cs="Arial"/>
                <w:sz w:val="21"/>
                <w:szCs w:val="21"/>
              </w:rPr>
              <w:t>.</w:t>
            </w:r>
            <w:bookmarkEnd w:id="62"/>
            <w:r>
              <w:rPr>
                <w:rFonts w:ascii="Arial" w:hAnsi="Arial" w:cs="Arial"/>
                <w:sz w:val="21"/>
                <w:szCs w:val="21"/>
              </w:rPr>
              <w:t xml:space="preserve"> </w:t>
            </w:r>
          </w:p>
        </w:tc>
      </w:tr>
      <w:tr>
        <w:tblPrEx>
          <w:tblCellMar>
            <w:top w:w="0" w:type="dxa"/>
            <w:left w:w="108" w:type="dxa"/>
            <w:bottom w:w="0" w:type="dxa"/>
            <w:right w:w="108" w:type="dxa"/>
          </w:tblCellMar>
        </w:tblPrEx>
        <w:trPr>
          <w:cantSplit/>
        </w:trPr>
        <w:tc>
          <w:tcPr>
            <w:tcW w:w="2066" w:type="pct"/>
          </w:tcPr>
          <w:p>
            <w:pPr>
              <w:pStyle w:val="101"/>
              <w:keepNext/>
              <w:spacing w:after="120"/>
              <w:rPr>
                <w:rFonts w:ascii="Arial" w:hAnsi="Arial" w:cs="Arial"/>
                <w:i/>
                <w:iCs/>
                <w:sz w:val="21"/>
                <w:szCs w:val="21"/>
                <w:lang w:eastAsia="en-GB"/>
              </w:rPr>
            </w:pPr>
            <w:r>
              <w:rPr>
                <w:rFonts w:ascii="Arial" w:hAnsi="Arial" w:cs="Arial"/>
                <w:i/>
                <w:iCs/>
                <w:sz w:val="21"/>
                <w:szCs w:val="21"/>
                <w:lang w:eastAsia="en-GB"/>
              </w:rPr>
              <w:t>Biaya-biaya:</w:t>
            </w:r>
          </w:p>
        </w:tc>
        <w:tc>
          <w:tcPr>
            <w:tcW w:w="2934" w:type="pct"/>
          </w:tcPr>
          <w:p>
            <w:pPr>
              <w:pStyle w:val="101"/>
              <w:keepNext/>
              <w:spacing w:after="120"/>
              <w:rPr>
                <w:rFonts w:ascii="Arial" w:hAnsi="Arial" w:cs="Arial"/>
                <w:i/>
                <w:iCs/>
                <w:sz w:val="21"/>
                <w:szCs w:val="21"/>
                <w:lang w:eastAsia="en-GB"/>
              </w:rPr>
            </w:pPr>
            <w:r>
              <w:rPr>
                <w:rFonts w:ascii="Arial" w:hAnsi="Arial" w:cs="Arial"/>
                <w:i/>
                <w:iCs/>
                <w:sz w:val="21"/>
                <w:szCs w:val="21"/>
                <w:lang w:eastAsia="en-GB"/>
              </w:rPr>
              <w:t>Biaya Komitmen:</w:t>
            </w:r>
          </w:p>
        </w:tc>
      </w:tr>
      <w:tr>
        <w:tblPrEx>
          <w:tblCellMar>
            <w:top w:w="0" w:type="dxa"/>
            <w:left w:w="108" w:type="dxa"/>
            <w:bottom w:w="0" w:type="dxa"/>
            <w:right w:w="108" w:type="dxa"/>
          </w:tblCellMar>
        </w:tblPrEx>
        <w:trPr>
          <w:cantSplit/>
        </w:trPr>
        <w:tc>
          <w:tcPr>
            <w:tcW w:w="2066" w:type="pct"/>
          </w:tcPr>
          <w:p>
            <w:pPr>
              <w:pStyle w:val="101"/>
              <w:keepNext/>
              <w:spacing w:after="120"/>
              <w:rPr>
                <w:rFonts w:ascii="Arial" w:hAnsi="Arial" w:cs="Arial"/>
                <w:i/>
                <w:iCs/>
                <w:sz w:val="21"/>
                <w:szCs w:val="21"/>
                <w:lang w:eastAsia="en-GB"/>
              </w:rPr>
            </w:pPr>
          </w:p>
        </w:tc>
        <w:tc>
          <w:tcPr>
            <w:tcW w:w="2934" w:type="pct"/>
          </w:tcPr>
          <w:p>
            <w:pPr>
              <w:pStyle w:val="99"/>
              <w:tabs>
                <w:tab w:val="clear" w:pos="720"/>
              </w:tabs>
              <w:spacing w:after="120"/>
              <w:rPr>
                <w:rFonts w:ascii="Arial" w:hAnsi="Arial" w:cs="Arial"/>
                <w:sz w:val="21"/>
                <w:szCs w:val="21"/>
                <w:lang w:eastAsia="en-GB"/>
              </w:rPr>
            </w:pPr>
            <w:r>
              <w:rPr>
                <w:rFonts w:ascii="Arial" w:hAnsi="Arial" w:cs="Arial"/>
                <w:sz w:val="21"/>
                <w:szCs w:val="21"/>
                <w:lang w:eastAsia="en-GB"/>
              </w:rPr>
              <w:t xml:space="preserve">[●]% </w:t>
            </w:r>
            <w:r>
              <w:rPr>
                <w:rFonts w:ascii="Arial" w:hAnsi="Arial" w:cs="Arial"/>
                <w:sz w:val="21"/>
                <w:szCs w:val="21"/>
              </w:rPr>
              <w:t>per tahun berdasarkan bagian dari jumlah fasilitas yang belum ditarik dan belum dibatalkan</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66" w:type="pct"/>
          </w:tcPr>
          <w:p>
            <w:pPr>
              <w:pStyle w:val="101"/>
              <w:keepNext/>
              <w:spacing w:after="120"/>
              <w:rPr>
                <w:rFonts w:ascii="Arial" w:hAnsi="Arial" w:cs="Arial"/>
                <w:i/>
                <w:iCs/>
                <w:sz w:val="21"/>
                <w:szCs w:val="21"/>
                <w:lang w:eastAsia="en-GB"/>
              </w:rPr>
            </w:pPr>
          </w:p>
        </w:tc>
        <w:tc>
          <w:tcPr>
            <w:tcW w:w="2934" w:type="pct"/>
          </w:tcPr>
          <w:p>
            <w:pPr>
              <w:pStyle w:val="99"/>
              <w:numPr>
                <w:ilvl w:val="4"/>
                <w:numId w:val="21"/>
              </w:numPr>
              <w:tabs>
                <w:tab w:val="clear" w:pos="720"/>
              </w:tabs>
              <w:spacing w:after="120"/>
              <w:rPr>
                <w:rFonts w:ascii="Arial" w:hAnsi="Arial" w:cs="Arial"/>
                <w:bCs/>
                <w:sz w:val="21"/>
                <w:szCs w:val="21"/>
                <w:lang w:eastAsia="en-GB"/>
              </w:rPr>
            </w:pPr>
            <w:r>
              <w:rPr>
                <w:rFonts w:ascii="Arial" w:hAnsi="Arial" w:cs="Arial"/>
                <w:sz w:val="21"/>
                <w:szCs w:val="21"/>
                <w:lang w:eastAsia="en-GB"/>
              </w:rPr>
              <w:t>Biaya-biaya Komitmen akan bertambah pada dan sejak [</w:t>
            </w:r>
            <w:r>
              <w:rPr>
                <w:rFonts w:ascii="Arial" w:hAnsi="Arial" w:cs="Arial"/>
                <w:i/>
                <w:iCs/>
                <w:sz w:val="21"/>
                <w:szCs w:val="21"/>
                <w:lang w:eastAsia="en-GB"/>
              </w:rPr>
              <w:t xml:space="preserve">awal Periode Ketersediaan Fasilitas </w:t>
            </w:r>
            <w:r>
              <w:rPr>
                <w:rFonts w:ascii="Arial" w:hAnsi="Arial" w:cs="Arial"/>
                <w:iCs/>
                <w:sz w:val="21"/>
                <w:szCs w:val="21"/>
                <w:lang w:eastAsia="en-GB"/>
              </w:rPr>
              <w:t>Standby</w:t>
            </w:r>
            <w:r>
              <w:rPr>
                <w:rFonts w:ascii="Arial" w:hAnsi="Arial" w:cs="Arial"/>
                <w:sz w:val="21"/>
                <w:szCs w:val="21"/>
                <w:lang w:eastAsia="en-GB"/>
              </w:rPr>
              <w:t xml:space="preserve">] </w:t>
            </w:r>
            <w:r>
              <w:rPr>
                <w:rFonts w:ascii="Arial" w:hAnsi="Arial" w:cs="Arial"/>
                <w:bCs/>
                <w:sz w:val="21"/>
                <w:szCs w:val="21"/>
                <w:lang w:eastAsia="en-GB"/>
              </w:rPr>
              <w:t xml:space="preserve">sampai dengan hari terakhir Periode Ketersediaan Fasilitas </w:t>
            </w:r>
            <w:r>
              <w:rPr>
                <w:rFonts w:ascii="Arial" w:hAnsi="Arial" w:cs="Arial"/>
                <w:bCs/>
                <w:i/>
                <w:sz w:val="21"/>
                <w:szCs w:val="21"/>
                <w:lang w:eastAsia="en-GB"/>
              </w:rPr>
              <w:t>Standby</w:t>
            </w:r>
            <w:r>
              <w:rPr>
                <w:rFonts w:ascii="Arial" w:hAnsi="Arial" w:cs="Arial"/>
                <w:bCs/>
                <w:sz w:val="21"/>
                <w:szCs w:val="21"/>
                <w:lang w:eastAsia="en-GB"/>
              </w:rPr>
              <w:t xml:space="preserve"> dan harus dibayar pada setiap Tanggal Pembayaran Bunga, </w:t>
            </w:r>
            <w:r>
              <w:rPr>
                <w:rFonts w:ascii="Arial" w:hAnsi="Arial" w:cs="Arial"/>
                <w:sz w:val="21"/>
                <w:szCs w:val="21"/>
              </w:rPr>
              <w:t xml:space="preserve">pada hari terakhir </w:t>
            </w:r>
            <w:r>
              <w:rPr>
                <w:rFonts w:ascii="Arial" w:hAnsi="Arial" w:cs="Arial"/>
                <w:bCs/>
                <w:sz w:val="21"/>
                <w:szCs w:val="21"/>
                <w:lang w:eastAsia="en-GB"/>
              </w:rPr>
              <w:t xml:space="preserve">Periode Ketersediaan Fasilitas </w:t>
            </w:r>
            <w:r>
              <w:rPr>
                <w:rFonts w:ascii="Arial" w:hAnsi="Arial" w:cs="Arial"/>
                <w:bCs/>
                <w:i/>
                <w:sz w:val="21"/>
                <w:szCs w:val="21"/>
                <w:lang w:eastAsia="en-GB"/>
              </w:rPr>
              <w:t>Standby</w:t>
            </w:r>
            <w:r>
              <w:rPr>
                <w:rFonts w:ascii="Arial" w:hAnsi="Arial" w:cs="Arial"/>
                <w:sz w:val="21"/>
                <w:szCs w:val="21"/>
              </w:rPr>
              <w:t xml:space="preserve"> dan berdasarkan jumlah yang dibatalkan atas </w:t>
            </w:r>
            <w:r>
              <w:rPr>
                <w:rFonts w:ascii="Arial" w:hAnsi="Arial" w:cs="Arial"/>
                <w:bCs/>
                <w:sz w:val="21"/>
                <w:szCs w:val="21"/>
                <w:lang w:eastAsia="en-GB"/>
              </w:rPr>
              <w:t xml:space="preserve">Fasilitas </w:t>
            </w:r>
            <w:r>
              <w:rPr>
                <w:rFonts w:ascii="Arial" w:hAnsi="Arial" w:cs="Arial"/>
                <w:bCs/>
                <w:i/>
                <w:sz w:val="21"/>
                <w:szCs w:val="21"/>
                <w:lang w:eastAsia="en-GB"/>
              </w:rPr>
              <w:t>Standby</w:t>
            </w:r>
            <w:r>
              <w:rPr>
                <w:rFonts w:ascii="Arial" w:hAnsi="Arial" w:cs="Arial"/>
                <w:sz w:val="21"/>
                <w:szCs w:val="21"/>
              </w:rPr>
              <w:t xml:space="preserve"> pada saat berlakunya pembatalan secara penuh,</w:t>
            </w:r>
            <w:r>
              <w:rPr>
                <w:rFonts w:ascii="Arial" w:hAnsi="Arial" w:cs="Arial"/>
                <w:bCs/>
                <w:sz w:val="21"/>
                <w:szCs w:val="21"/>
                <w:lang w:eastAsia="en-GB"/>
              </w:rPr>
              <w:t xml:space="preserve"> yang tertunggak.</w:t>
            </w:r>
          </w:p>
        </w:tc>
      </w:tr>
      <w:tr>
        <w:tblPrEx>
          <w:tblCellMar>
            <w:top w:w="0" w:type="dxa"/>
            <w:left w:w="108" w:type="dxa"/>
            <w:bottom w:w="0" w:type="dxa"/>
            <w:right w:w="108" w:type="dxa"/>
          </w:tblCellMar>
        </w:tblPrEx>
        <w:trPr>
          <w:cantSplit/>
        </w:trPr>
        <w:tc>
          <w:tcPr>
            <w:tcW w:w="2066" w:type="pct"/>
          </w:tcPr>
          <w:p>
            <w:pPr>
              <w:pStyle w:val="101"/>
              <w:keepNext/>
              <w:spacing w:after="120"/>
              <w:rPr>
                <w:rFonts w:ascii="Arial" w:hAnsi="Arial" w:cs="Arial"/>
                <w:i/>
                <w:iCs/>
                <w:sz w:val="21"/>
                <w:szCs w:val="21"/>
                <w:lang w:eastAsia="en-GB"/>
              </w:rPr>
            </w:pPr>
          </w:p>
        </w:tc>
        <w:tc>
          <w:tcPr>
            <w:tcW w:w="2934" w:type="pct"/>
          </w:tcPr>
          <w:p>
            <w:pPr>
              <w:pStyle w:val="101"/>
              <w:keepNext/>
              <w:numPr>
                <w:ilvl w:val="0"/>
                <w:numId w:val="0"/>
              </w:numPr>
              <w:spacing w:after="120"/>
              <w:rPr>
                <w:rFonts w:ascii="Arial" w:hAnsi="Arial" w:cs="Arial"/>
                <w:i/>
                <w:iCs/>
                <w:sz w:val="21"/>
                <w:szCs w:val="21"/>
                <w:lang w:eastAsia="en-GB"/>
              </w:rPr>
            </w:pPr>
            <w:r>
              <w:rPr>
                <w:rFonts w:ascii="Arial" w:hAnsi="Arial" w:cs="Arial"/>
                <w:sz w:val="21"/>
                <w:szCs w:val="21"/>
              </w:rPr>
              <w:t>[</w:t>
            </w:r>
            <w:r>
              <w:rPr>
                <w:rFonts w:ascii="Arial" w:hAnsi="Arial" w:cs="Arial"/>
                <w:i/>
                <w:iCs/>
                <w:sz w:val="21"/>
                <w:szCs w:val="21"/>
              </w:rPr>
              <w:t>Biaya-biaya lain akan dimasukkan, antara lain biaya-biaya keagenan</w:t>
            </w:r>
            <w:r>
              <w:rPr>
                <w:rFonts w:ascii="Arial" w:hAnsi="Arial" w:cs="Arial"/>
                <w:sz w:val="21"/>
                <w:szCs w:val="21"/>
              </w:rPr>
              <w:t>]</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 xml:space="preserve">Periode </w:t>
            </w:r>
            <w:r>
              <w:rPr>
                <w:rFonts w:ascii="Arial" w:hAnsi="Arial" w:cs="Arial"/>
                <w:b/>
                <w:bCs/>
                <w:sz w:val="21"/>
                <w:szCs w:val="21"/>
              </w:rPr>
              <w:t>Ketersediaan</w:t>
            </w:r>
            <w:r>
              <w:rPr>
                <w:rFonts w:ascii="Arial" w:hAnsi="Arial" w:cs="Arial"/>
                <w:b/>
                <w:sz w:val="21"/>
                <w:szCs w:val="21"/>
              </w:rPr>
              <w:t>:</w:t>
            </w:r>
          </w:p>
        </w:tc>
        <w:tc>
          <w:tcPr>
            <w:tcW w:w="2934" w:type="pct"/>
          </w:tcPr>
          <w:p>
            <w:pPr>
              <w:pStyle w:val="3"/>
              <w:widowControl w:val="0"/>
              <w:spacing w:after="120"/>
              <w:ind w:left="0"/>
              <w:rPr>
                <w:rFonts w:ascii="Arial" w:hAnsi="Arial" w:cs="Arial"/>
                <w:b/>
                <w:bCs/>
                <w:i/>
                <w:iCs/>
                <w:sz w:val="21"/>
                <w:szCs w:val="21"/>
              </w:rPr>
            </w:pPr>
            <w:r>
              <w:rPr>
                <w:rFonts w:ascii="Arial" w:hAnsi="Arial" w:cs="Arial"/>
                <w:sz w:val="21"/>
                <w:szCs w:val="21"/>
              </w:rPr>
              <w:t>Sejak [tanggal Perjanjian] sampai dengan [mana yang lebih dulu antara [[</w:t>
            </w:r>
            <w:r>
              <w:rPr>
                <w:rFonts w:ascii="Arial" w:hAnsi="Arial" w:cs="Arial"/>
                <w:sz w:val="21"/>
                <w:szCs w:val="21"/>
                <w:lang w:eastAsia="en-GB"/>
              </w:rPr>
              <w:t>●</w:t>
            </w:r>
            <w:r>
              <w:rPr>
                <w:rFonts w:ascii="Arial" w:hAnsi="Arial" w:cs="Arial"/>
                <w:sz w:val="21"/>
                <w:szCs w:val="21"/>
              </w:rPr>
              <w:t>] hari setelah] (i) [Tanggal Penyelesaian Finansial/Tanggal Penyelesaian Proyek] dan (ii) Tanggal</w:t>
            </w:r>
            <w:r>
              <w:rPr>
                <w:rFonts w:ascii="Arial" w:hAnsi="Arial" w:cs="Arial"/>
                <w:i/>
                <w:sz w:val="21"/>
                <w:szCs w:val="21"/>
              </w:rPr>
              <w:t xml:space="preserve"> Longstop</w:t>
            </w:r>
            <w:r>
              <w:rPr>
                <w:rFonts w:ascii="Arial" w:hAnsi="Arial" w:cs="Arial"/>
                <w:sz w:val="21"/>
                <w:szCs w:val="21"/>
              </w:rPr>
              <w:t>]</w:t>
            </w:r>
            <w:r>
              <w:rPr>
                <w:rStyle w:val="25"/>
                <w:rFonts w:ascii="Arial" w:hAnsi="Arial" w:cs="Arial"/>
                <w:sz w:val="21"/>
                <w:szCs w:val="21"/>
              </w:rPr>
              <w:footnoteReference w:id="64"/>
            </w:r>
            <w:r>
              <w:rPr>
                <w:rFonts w:ascii="Arial" w:hAnsi="Arial" w:cs="Arial"/>
                <w:sz w:val="21"/>
                <w:szCs w:val="21"/>
              </w:rPr>
              <w:t xml:space="preserve">. </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Jumlah Minimal Setiap Penggunaan:</w:t>
            </w:r>
          </w:p>
        </w:tc>
        <w:tc>
          <w:tcPr>
            <w:tcW w:w="2934" w:type="pct"/>
          </w:tcPr>
          <w:p>
            <w:pPr>
              <w:pStyle w:val="3"/>
              <w:widowControl w:val="0"/>
              <w:spacing w:after="120"/>
              <w:ind w:left="0"/>
              <w:rPr>
                <w:rFonts w:ascii="Arial" w:hAnsi="Arial" w:cs="Arial"/>
                <w:sz w:val="21"/>
                <w:szCs w:val="21"/>
              </w:rPr>
            </w:pPr>
            <w:r>
              <w:rPr>
                <w:rFonts w:ascii="Arial" w:hAnsi="Arial" w:cs="Arial"/>
                <w:sz w:val="21"/>
                <w:szCs w:val="21"/>
              </w:rPr>
              <w:t>Setiap Penggunaan harus dalam jumlah minimal sebesar [</w:t>
            </w:r>
            <w:r>
              <w:rPr>
                <w:rFonts w:ascii="Arial" w:hAnsi="Arial" w:cs="Arial"/>
                <w:i/>
                <w:sz w:val="21"/>
                <w:szCs w:val="21"/>
              </w:rPr>
              <w:t>masukkan jumlah</w:t>
            </w:r>
            <w:r>
              <w:rPr>
                <w:rFonts w:ascii="Arial" w:hAnsi="Arial" w:cs="Arial"/>
                <w:sz w:val="21"/>
                <w:szCs w:val="21"/>
              </w:rPr>
              <w:t>].</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Frekuensi Penggunaan-penggunaan:</w:t>
            </w:r>
          </w:p>
        </w:tc>
        <w:tc>
          <w:tcPr>
            <w:tcW w:w="2934" w:type="pct"/>
          </w:tcPr>
          <w:p>
            <w:pPr>
              <w:pStyle w:val="3"/>
              <w:widowControl w:val="0"/>
              <w:spacing w:after="120"/>
              <w:ind w:left="0"/>
              <w:rPr>
                <w:rFonts w:ascii="Arial" w:hAnsi="Arial" w:cs="Arial"/>
                <w:sz w:val="21"/>
                <w:szCs w:val="21"/>
              </w:rPr>
            </w:pPr>
            <w:r>
              <w:rPr>
                <w:rFonts w:ascii="Arial" w:hAnsi="Arial" w:cs="Arial"/>
                <w:sz w:val="21"/>
                <w:szCs w:val="21"/>
              </w:rPr>
              <w:t>Penggunaan-(penggunaan) dapat dimohonkan tidak lebih dari [</w:t>
            </w:r>
            <w:bookmarkStart w:id="63" w:name="_9kMI2G7ZVw9A67AB"/>
            <w:bookmarkStart w:id="64" w:name="_9kMI2I6ZWu9A67EI"/>
            <w:r>
              <w:rPr>
                <w:rFonts w:ascii="Arial" w:hAnsi="Arial" w:cs="Arial"/>
                <w:sz w:val="21"/>
                <w:szCs w:val="21"/>
              </w:rPr>
              <w:t>•</w:t>
            </w:r>
            <w:bookmarkEnd w:id="63"/>
            <w:bookmarkEnd w:id="64"/>
            <w:r>
              <w:rPr>
                <w:rFonts w:ascii="Arial" w:hAnsi="Arial" w:cs="Arial"/>
                <w:sz w:val="21"/>
                <w:szCs w:val="21"/>
              </w:rPr>
              <w:t>] kali.</w:t>
            </w:r>
          </w:p>
        </w:tc>
      </w:tr>
      <w:tr>
        <w:tblPrEx>
          <w:tblCellMar>
            <w:top w:w="0" w:type="dxa"/>
            <w:left w:w="108" w:type="dxa"/>
            <w:bottom w:w="0" w:type="dxa"/>
            <w:right w:w="108" w:type="dxa"/>
          </w:tblCellMar>
        </w:tblPrEx>
        <w:trPr>
          <w:cantSplit/>
        </w:trPr>
        <w:tc>
          <w:tcPr>
            <w:tcW w:w="2066"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Tujuan:</w:t>
            </w:r>
          </w:p>
        </w:tc>
        <w:tc>
          <w:tcPr>
            <w:tcW w:w="2934" w:type="pct"/>
          </w:tcPr>
          <w:p>
            <w:pPr>
              <w:pStyle w:val="3"/>
              <w:widowControl w:val="0"/>
              <w:spacing w:after="120"/>
              <w:ind w:left="0"/>
              <w:rPr>
                <w:rFonts w:ascii="Arial" w:hAnsi="Arial" w:cs="Arial"/>
                <w:sz w:val="21"/>
                <w:szCs w:val="21"/>
              </w:rPr>
            </w:pPr>
            <w:r>
              <w:rPr>
                <w:rFonts w:ascii="Arial" w:hAnsi="Arial" w:cs="Arial"/>
                <w:sz w:val="21"/>
                <w:szCs w:val="21"/>
              </w:rPr>
              <w:t xml:space="preserve">Untuk mendanai </w:t>
            </w:r>
            <w:r>
              <w:rPr>
                <w:rFonts w:ascii="Arial" w:hAnsi="Arial" w:cs="Arial"/>
                <w:sz w:val="21"/>
                <w:szCs w:val="21"/>
                <w:lang w:val="en-US"/>
              </w:rPr>
              <w:t>pembengkakan</w:t>
            </w:r>
            <w:r>
              <w:rPr>
                <w:rFonts w:ascii="Arial" w:hAnsi="Arial" w:cs="Arial"/>
                <w:sz w:val="21"/>
                <w:szCs w:val="21"/>
              </w:rPr>
              <w:t xml:space="preserve"> Biaya Proyek.] </w:t>
            </w:r>
          </w:p>
        </w:tc>
      </w:tr>
    </w:tbl>
    <w:p>
      <w:pPr>
        <w:pStyle w:val="105"/>
        <w:spacing w:after="120"/>
        <w:rPr>
          <w:rFonts w:ascii="Arial" w:hAnsi="Arial" w:cs="Arial"/>
          <w:sz w:val="21"/>
          <w:szCs w:val="21"/>
          <w:lang w:eastAsia="zh-CN"/>
        </w:rPr>
      </w:pPr>
      <w:bookmarkStart w:id="65" w:name="_9kMH4J7ZVw8EB79G"/>
      <w:bookmarkStart w:id="66" w:name="_9kMH4L6ZWu8EB7DN"/>
      <w:bookmarkStart w:id="67" w:name="_Toc74557529"/>
      <w:bookmarkStart w:id="68" w:name="_Toc74860675"/>
      <w:r>
        <w:rPr>
          <w:rFonts w:ascii="Arial" w:hAnsi="Arial" w:cs="Arial"/>
          <w:sz w:val="21"/>
          <w:szCs w:val="21"/>
          <w:lang w:eastAsia="zh-CN"/>
        </w:rPr>
        <w:t>[</w:t>
      </w:r>
      <w:bookmarkEnd w:id="65"/>
      <w:bookmarkEnd w:id="66"/>
      <w:r>
        <w:rPr>
          <w:rFonts w:ascii="Arial" w:hAnsi="Arial" w:cs="Arial"/>
          <w:sz w:val="21"/>
          <w:szCs w:val="21"/>
          <w:lang w:eastAsia="zh-CN"/>
        </w:rPr>
        <w:t>FASILITAS TALANGAN EKUITAS</w:t>
      </w:r>
      <w:bookmarkEnd w:id="67"/>
      <w:r>
        <w:rPr>
          <w:rFonts w:ascii="Arial" w:hAnsi="Arial" w:cs="Arial"/>
          <w:sz w:val="21"/>
          <w:szCs w:val="21"/>
          <w:lang w:eastAsia="zh-CN"/>
        </w:rPr>
        <w:t xml:space="preserve"> (</w:t>
      </w:r>
      <w:r>
        <w:rPr>
          <w:rFonts w:ascii="Arial" w:hAnsi="Arial" w:cs="Arial"/>
          <w:i/>
          <w:iCs/>
          <w:sz w:val="21"/>
          <w:szCs w:val="21"/>
          <w:u w:val="single"/>
          <w:lang w:eastAsia="zh-CN"/>
        </w:rPr>
        <w:t>EQUITY BRIDGE FACILITY</w:t>
      </w:r>
      <w:r>
        <w:rPr>
          <w:rFonts w:ascii="Arial" w:hAnsi="Arial" w:cs="Arial"/>
          <w:sz w:val="21"/>
          <w:szCs w:val="21"/>
          <w:lang w:eastAsia="zh-CN"/>
        </w:rPr>
        <w:t>)</w:t>
      </w:r>
      <w:bookmarkEnd w:id="68"/>
    </w:p>
    <w:tbl>
      <w:tblPr>
        <w:tblStyle w:val="17"/>
        <w:tblW w:w="5000" w:type="pct"/>
        <w:tblInd w:w="-90" w:type="dxa"/>
        <w:tblLayout w:type="autofit"/>
        <w:tblCellMar>
          <w:top w:w="0" w:type="dxa"/>
          <w:left w:w="108" w:type="dxa"/>
          <w:bottom w:w="0" w:type="dxa"/>
          <w:right w:w="108" w:type="dxa"/>
        </w:tblCellMar>
      </w:tblPr>
      <w:tblGrid>
        <w:gridCol w:w="3690"/>
        <w:gridCol w:w="5193"/>
      </w:tblGrid>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Fasilitas:</w:t>
            </w:r>
          </w:p>
        </w:tc>
        <w:tc>
          <w:tcPr>
            <w:tcW w:w="2923" w:type="pct"/>
          </w:tcPr>
          <w:p>
            <w:pPr>
              <w:pStyle w:val="101"/>
              <w:spacing w:after="120"/>
              <w:rPr>
                <w:rFonts w:ascii="Arial" w:hAnsi="Arial" w:cs="Arial"/>
                <w:sz w:val="21"/>
                <w:szCs w:val="21"/>
              </w:rPr>
            </w:pPr>
            <w:r>
              <w:rPr>
                <w:rFonts w:ascii="Arial" w:hAnsi="Arial" w:cs="Arial"/>
                <w:sz w:val="21"/>
                <w:szCs w:val="21"/>
              </w:rPr>
              <w:t>Fasilitas pinjaman berjangka.</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Penanggung/Penyedia Dukungan Kredit:</w:t>
            </w:r>
          </w:p>
        </w:tc>
        <w:tc>
          <w:tcPr>
            <w:tcW w:w="2923" w:type="pct"/>
          </w:tcPr>
          <w:p>
            <w:pPr>
              <w:pStyle w:val="101"/>
              <w:spacing w:after="120"/>
              <w:rPr>
                <w:rFonts w:ascii="Arial" w:hAnsi="Arial" w:cs="Arial"/>
                <w:sz w:val="21"/>
                <w:szCs w:val="21"/>
              </w:rPr>
            </w:pPr>
            <w:r>
              <w:rPr>
                <w:rFonts w:ascii="Arial" w:hAnsi="Arial" w:cs="Arial"/>
                <w:sz w:val="21"/>
                <w:szCs w:val="21"/>
              </w:rPr>
              <w:t>Para Sponsor/Para Pemegang Saham.</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Jumlah:</w:t>
            </w:r>
          </w:p>
        </w:tc>
        <w:tc>
          <w:tcPr>
            <w:tcW w:w="2923" w:type="pct"/>
          </w:tcPr>
          <w:p>
            <w:pPr>
              <w:pStyle w:val="101"/>
              <w:spacing w:after="120"/>
              <w:rPr>
                <w:rFonts w:ascii="Arial" w:hAnsi="Arial" w:cs="Arial"/>
                <w:sz w:val="21"/>
                <w:szCs w:val="21"/>
              </w:rPr>
            </w:pPr>
            <w:bookmarkStart w:id="69" w:name="_9kMH5M6ZWu8EB7DN"/>
            <w:bookmarkStart w:id="70" w:name="_9kMH5K7ZVw8EB79G"/>
            <w:r>
              <w:rPr>
                <w:rFonts w:ascii="Arial" w:hAnsi="Arial" w:cs="Arial"/>
                <w:sz w:val="21"/>
                <w:szCs w:val="21"/>
              </w:rPr>
              <w:t>[</w:t>
            </w:r>
            <w:bookmarkEnd w:id="69"/>
            <w:bookmarkEnd w:id="70"/>
            <w:r>
              <w:rPr>
                <w:rFonts w:ascii="Arial" w:hAnsi="Arial" w:cs="Arial"/>
                <w:i/>
                <w:iCs/>
                <w:sz w:val="21"/>
                <w:szCs w:val="21"/>
              </w:rPr>
              <w:t>Masukkan mata uang dan jumlah fasilitas</w:t>
            </w:r>
            <w:r>
              <w:rPr>
                <w:rFonts w:ascii="Arial" w:hAnsi="Arial" w:cs="Arial"/>
                <w:sz w:val="21"/>
                <w:szCs w:val="21"/>
              </w:rPr>
              <w:t>].</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Margin:</w:t>
            </w:r>
          </w:p>
        </w:tc>
        <w:tc>
          <w:tcPr>
            <w:tcW w:w="2923" w:type="pct"/>
          </w:tcPr>
          <w:p>
            <w:pPr>
              <w:pStyle w:val="3"/>
              <w:widowControl w:val="0"/>
              <w:spacing w:after="120"/>
              <w:ind w:left="0"/>
              <w:rPr>
                <w:rFonts w:ascii="Arial" w:hAnsi="Arial" w:cs="Arial"/>
                <w:sz w:val="21"/>
                <w:szCs w:val="21"/>
              </w:rPr>
            </w:pPr>
            <w:r>
              <w:rPr>
                <w:rFonts w:ascii="Arial" w:hAnsi="Arial" w:cs="Arial"/>
                <w:sz w:val="21"/>
                <w:szCs w:val="21"/>
              </w:rPr>
              <w:t>[</w:t>
            </w:r>
            <w:r>
              <w:rPr>
                <w:rFonts w:ascii="Arial" w:hAnsi="Arial" w:cs="Arial"/>
                <w:sz w:val="21"/>
                <w:szCs w:val="21"/>
                <w:lang w:eastAsia="en-GB"/>
              </w:rPr>
              <w:t>●</w:t>
            </w:r>
            <w:r>
              <w:rPr>
                <w:rFonts w:ascii="Arial" w:hAnsi="Arial" w:cs="Arial"/>
                <w:sz w:val="21"/>
                <w:szCs w:val="21"/>
              </w:rPr>
              <w:t>]% per tahun.</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Suku Bunga:</w:t>
            </w:r>
          </w:p>
        </w:tc>
        <w:tc>
          <w:tcPr>
            <w:tcW w:w="2923" w:type="pct"/>
          </w:tcPr>
          <w:p>
            <w:pPr>
              <w:pStyle w:val="3"/>
              <w:widowControl w:val="0"/>
              <w:spacing w:after="120"/>
              <w:ind w:left="0"/>
              <w:rPr>
                <w:rFonts w:ascii="Arial" w:hAnsi="Arial" w:cs="Arial"/>
                <w:sz w:val="21"/>
                <w:szCs w:val="21"/>
              </w:rPr>
            </w:pPr>
            <w:r>
              <w:rPr>
                <w:rFonts w:ascii="Arial" w:hAnsi="Arial" w:cs="Arial"/>
                <w:sz w:val="21"/>
                <w:szCs w:val="21"/>
                <w:lang w:eastAsia="en-GB"/>
              </w:rPr>
              <w:t xml:space="preserve">Margin yang berlaku </w:t>
            </w:r>
            <w:r>
              <w:rPr>
                <w:rFonts w:ascii="Arial" w:hAnsi="Arial" w:cs="Arial"/>
                <w:i/>
                <w:sz w:val="21"/>
                <w:szCs w:val="21"/>
                <w:lang w:eastAsia="en-GB"/>
              </w:rPr>
              <w:t xml:space="preserve">ditambah </w:t>
            </w:r>
            <w:r>
              <w:rPr>
                <w:rFonts w:ascii="Arial" w:hAnsi="Arial" w:cs="Arial"/>
                <w:iCs/>
                <w:sz w:val="21"/>
                <w:szCs w:val="21"/>
                <w:lang w:eastAsia="en-GB"/>
              </w:rPr>
              <w:t>[enam (6)]-bulan</w:t>
            </w:r>
            <w:r>
              <w:rPr>
                <w:rFonts w:ascii="Arial" w:hAnsi="Arial" w:cs="Arial"/>
                <w:sz w:val="21"/>
                <w:szCs w:val="21"/>
                <w:lang w:eastAsia="en-GB"/>
              </w:rPr>
              <w:t xml:space="preserve"> (atau setiap periode lainnya yang disepakati antara Perusahaan Proyek dan Agen </w:t>
            </w:r>
            <w:r>
              <w:rPr>
                <w:rFonts w:ascii="Arial" w:hAnsi="Arial" w:cs="Arial"/>
                <w:sz w:val="21"/>
                <w:szCs w:val="21"/>
                <w:lang w:val="en-US" w:eastAsia="en-GB"/>
              </w:rPr>
              <w:t>Antarkreditur</w:t>
            </w:r>
            <w:r>
              <w:rPr>
                <w:rFonts w:ascii="Arial" w:hAnsi="Arial" w:cs="Arial"/>
                <w:sz w:val="21"/>
                <w:szCs w:val="21"/>
                <w:lang w:eastAsia="en-GB"/>
              </w:rPr>
              <w:t>) [</w:t>
            </w:r>
            <w:r>
              <w:rPr>
                <w:rFonts w:ascii="Arial" w:hAnsi="Arial" w:cs="Arial"/>
                <w:i/>
                <w:iCs/>
                <w:sz w:val="21"/>
                <w:szCs w:val="21"/>
                <w:lang w:eastAsia="en-GB"/>
              </w:rPr>
              <w:t>masukkan tolok ukur yang berlaku</w:t>
            </w:r>
            <w:r>
              <w:rPr>
                <w:rFonts w:ascii="Arial" w:hAnsi="Arial" w:cs="Arial"/>
                <w:sz w:val="21"/>
                <w:szCs w:val="21"/>
                <w:lang w:eastAsia="en-GB"/>
              </w:rPr>
              <w:t>]</w:t>
            </w:r>
            <w:r>
              <w:rPr>
                <w:rStyle w:val="25"/>
                <w:rFonts w:ascii="Arial" w:hAnsi="Arial" w:cs="Arial"/>
                <w:sz w:val="21"/>
                <w:szCs w:val="21"/>
                <w:lang w:eastAsia="en-GB"/>
              </w:rPr>
              <w:footnoteReference w:id="65"/>
            </w:r>
            <w:r>
              <w:rPr>
                <w:rFonts w:ascii="Arial" w:hAnsi="Arial" w:cs="Arial"/>
                <w:sz w:val="21"/>
                <w:szCs w:val="21"/>
                <w:lang w:eastAsia="en-GB"/>
              </w:rPr>
              <w:t xml:space="preserve"> yang dihitung berdasarkan</w:t>
            </w:r>
            <w:r>
              <w:rPr>
                <w:rFonts w:ascii="Arial" w:hAnsi="Arial" w:cs="Arial"/>
                <w:sz w:val="21"/>
                <w:szCs w:val="21"/>
              </w:rPr>
              <w:t xml:space="preserve"> jumlah hari sebenarnya yang telah berlalu pada setiap Periode Bunga dan dalam waktu satu tahun yang terdiri dari [360/365]</w:t>
            </w:r>
            <w:r>
              <w:rPr>
                <w:rStyle w:val="25"/>
                <w:rFonts w:ascii="Arial" w:hAnsi="Arial" w:cs="Arial"/>
                <w:sz w:val="21"/>
                <w:szCs w:val="21"/>
              </w:rPr>
              <w:t xml:space="preserve"> </w:t>
            </w:r>
            <w:r>
              <w:rPr>
                <w:rFonts w:ascii="Arial" w:hAnsi="Arial" w:cs="Arial"/>
                <w:sz w:val="21"/>
                <w:szCs w:val="21"/>
              </w:rPr>
              <w:t>hari</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Periode Bunga:</w:t>
            </w:r>
          </w:p>
        </w:tc>
        <w:tc>
          <w:tcPr>
            <w:tcW w:w="2923" w:type="pct"/>
          </w:tcPr>
          <w:p>
            <w:pPr>
              <w:pStyle w:val="3"/>
              <w:widowControl w:val="0"/>
              <w:spacing w:after="120"/>
              <w:ind w:left="0"/>
              <w:rPr>
                <w:rFonts w:ascii="Arial" w:hAnsi="Arial" w:cs="Arial"/>
                <w:sz w:val="21"/>
                <w:szCs w:val="21"/>
              </w:rPr>
            </w:pPr>
            <w:r>
              <w:rPr>
                <w:rFonts w:ascii="Arial" w:hAnsi="Arial" w:cs="Arial"/>
                <w:sz w:val="21"/>
                <w:szCs w:val="21"/>
              </w:rPr>
              <w:t xml:space="preserve">[Enam (6)] Bulan atau setiap periode lainnya yang disepakati antara Perusahaan Proyek dan Agen </w:t>
            </w:r>
            <w:r>
              <w:rPr>
                <w:rFonts w:ascii="Arial" w:hAnsi="Arial" w:cs="Arial"/>
                <w:sz w:val="21"/>
                <w:szCs w:val="21"/>
                <w:lang w:val="en-US"/>
              </w:rPr>
              <w:t>Antarkreditur</w:t>
            </w:r>
            <w:r>
              <w:rPr>
                <w:rFonts w:ascii="Arial" w:hAnsi="Arial" w:cs="Arial"/>
                <w:sz w:val="21"/>
                <w:szCs w:val="21"/>
              </w:rPr>
              <w:t>.</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Biaya-biaya:</w:t>
            </w:r>
          </w:p>
        </w:tc>
        <w:tc>
          <w:tcPr>
            <w:tcW w:w="2923" w:type="pct"/>
          </w:tcPr>
          <w:p>
            <w:pPr>
              <w:pStyle w:val="101"/>
              <w:keepNext/>
              <w:spacing w:after="120"/>
              <w:rPr>
                <w:rFonts w:ascii="Arial" w:hAnsi="Arial" w:cs="Arial"/>
                <w:i/>
                <w:iCs/>
                <w:sz w:val="21"/>
                <w:szCs w:val="21"/>
                <w:lang w:eastAsia="en-GB"/>
              </w:rPr>
            </w:pPr>
            <w:r>
              <w:rPr>
                <w:rFonts w:ascii="Arial" w:hAnsi="Arial" w:cs="Arial"/>
                <w:i/>
                <w:iCs/>
                <w:sz w:val="21"/>
                <w:szCs w:val="21"/>
                <w:lang w:eastAsia="en-GB"/>
              </w:rPr>
              <w:t>Biaya Komitmen:</w:t>
            </w:r>
          </w:p>
        </w:tc>
      </w:tr>
      <w:tr>
        <w:tblPrEx>
          <w:tblCellMar>
            <w:top w:w="0" w:type="dxa"/>
            <w:left w:w="108" w:type="dxa"/>
            <w:bottom w:w="0" w:type="dxa"/>
            <w:right w:w="108" w:type="dxa"/>
          </w:tblCellMar>
        </w:tblPrEx>
        <w:trPr>
          <w:cantSplit/>
        </w:trPr>
        <w:tc>
          <w:tcPr>
            <w:tcW w:w="2077" w:type="pct"/>
          </w:tcPr>
          <w:p>
            <w:pPr>
              <w:pStyle w:val="101"/>
              <w:keepNext/>
              <w:spacing w:after="120"/>
              <w:rPr>
                <w:rFonts w:ascii="Arial" w:hAnsi="Arial" w:cs="Arial"/>
                <w:i/>
                <w:iCs/>
                <w:sz w:val="21"/>
                <w:szCs w:val="21"/>
                <w:lang w:eastAsia="en-GB"/>
              </w:rPr>
            </w:pPr>
          </w:p>
        </w:tc>
        <w:tc>
          <w:tcPr>
            <w:tcW w:w="2923" w:type="pct"/>
          </w:tcPr>
          <w:p>
            <w:pPr>
              <w:pStyle w:val="99"/>
              <w:tabs>
                <w:tab w:val="clear" w:pos="720"/>
              </w:tabs>
              <w:spacing w:after="120"/>
              <w:rPr>
                <w:rFonts w:ascii="Arial" w:hAnsi="Arial" w:cs="Arial"/>
                <w:sz w:val="21"/>
                <w:szCs w:val="21"/>
                <w:lang w:eastAsia="en-GB"/>
              </w:rPr>
            </w:pPr>
            <w:r>
              <w:rPr>
                <w:rFonts w:ascii="Arial" w:hAnsi="Arial" w:cs="Arial"/>
                <w:sz w:val="21"/>
                <w:szCs w:val="21"/>
                <w:lang w:eastAsia="en-GB"/>
              </w:rPr>
              <w:t xml:space="preserve">[●]% </w:t>
            </w:r>
            <w:r>
              <w:rPr>
                <w:rFonts w:ascii="Arial" w:hAnsi="Arial" w:cs="Arial"/>
                <w:sz w:val="21"/>
                <w:szCs w:val="21"/>
              </w:rPr>
              <w:t>per tahun berdasarkan bagian dari jumlah fasilitas yang belum ditarik dan belum dibatalkan</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77" w:type="pct"/>
          </w:tcPr>
          <w:p>
            <w:pPr>
              <w:pStyle w:val="101"/>
              <w:keepNext/>
              <w:spacing w:after="120"/>
              <w:rPr>
                <w:rFonts w:ascii="Arial" w:hAnsi="Arial" w:cs="Arial"/>
                <w:i/>
                <w:iCs/>
                <w:sz w:val="21"/>
                <w:szCs w:val="21"/>
                <w:lang w:eastAsia="en-GB"/>
              </w:rPr>
            </w:pPr>
          </w:p>
        </w:tc>
        <w:tc>
          <w:tcPr>
            <w:tcW w:w="2923" w:type="pct"/>
          </w:tcPr>
          <w:p>
            <w:pPr>
              <w:pStyle w:val="99"/>
              <w:numPr>
                <w:ilvl w:val="4"/>
                <w:numId w:val="22"/>
              </w:numPr>
              <w:tabs>
                <w:tab w:val="clear" w:pos="720"/>
              </w:tabs>
              <w:spacing w:after="120"/>
              <w:rPr>
                <w:rFonts w:ascii="Arial" w:hAnsi="Arial" w:cs="Arial"/>
                <w:bCs/>
                <w:sz w:val="21"/>
                <w:szCs w:val="21"/>
                <w:lang w:eastAsia="en-GB"/>
              </w:rPr>
            </w:pPr>
            <w:r>
              <w:rPr>
                <w:rFonts w:ascii="Arial" w:hAnsi="Arial" w:cs="Arial"/>
                <w:sz w:val="21"/>
                <w:szCs w:val="21"/>
                <w:lang w:eastAsia="en-GB"/>
              </w:rPr>
              <w:t>Biaya-biaya Komitmen akan bertambah pada dan sejak [</w:t>
            </w:r>
            <w:r>
              <w:rPr>
                <w:rFonts w:ascii="Arial" w:hAnsi="Arial" w:cs="Arial"/>
                <w:i/>
                <w:iCs/>
                <w:sz w:val="21"/>
                <w:szCs w:val="21"/>
                <w:lang w:eastAsia="en-GB"/>
              </w:rPr>
              <w:t>awal Periode Ketersediaan Fasilitas Talangan Ekuitas (</w:t>
            </w:r>
            <w:r>
              <w:rPr>
                <w:rFonts w:ascii="Arial" w:hAnsi="Arial" w:cs="Arial"/>
                <w:sz w:val="21"/>
                <w:szCs w:val="21"/>
                <w:lang w:eastAsia="en-GB"/>
              </w:rPr>
              <w:t>Equity Bridge</w:t>
            </w:r>
            <w:r>
              <w:rPr>
                <w:rFonts w:ascii="Arial" w:hAnsi="Arial" w:cs="Arial"/>
                <w:sz w:val="21"/>
                <w:szCs w:val="21"/>
                <w:lang w:val="en-US" w:eastAsia="en-GB"/>
              </w:rPr>
              <w:t xml:space="preserve"> Facility</w:t>
            </w:r>
            <w:r>
              <w:rPr>
                <w:rFonts w:ascii="Arial" w:hAnsi="Arial" w:cs="Arial"/>
                <w:i/>
                <w:iCs/>
                <w:sz w:val="21"/>
                <w:szCs w:val="21"/>
                <w:lang w:eastAsia="en-GB"/>
              </w:rPr>
              <w:t>)</w:t>
            </w:r>
            <w:r>
              <w:rPr>
                <w:rFonts w:ascii="Arial" w:hAnsi="Arial" w:cs="Arial"/>
                <w:sz w:val="21"/>
                <w:szCs w:val="21"/>
                <w:lang w:eastAsia="en-GB"/>
              </w:rPr>
              <w:t xml:space="preserve">] </w:t>
            </w:r>
            <w:r>
              <w:rPr>
                <w:rFonts w:ascii="Arial" w:hAnsi="Arial" w:cs="Arial"/>
                <w:bCs/>
                <w:sz w:val="21"/>
                <w:szCs w:val="21"/>
                <w:lang w:eastAsia="en-GB"/>
              </w:rPr>
              <w:t xml:space="preserve">sampai dengan hari terakhir Periode Ketersediaan Fasilitas Talangan Ekuitas dan harus dibayar pada setiap Tanggal Pembayaran Bunga, </w:t>
            </w:r>
            <w:r>
              <w:rPr>
                <w:rFonts w:ascii="Arial" w:hAnsi="Arial" w:cs="Arial"/>
                <w:sz w:val="21"/>
                <w:szCs w:val="21"/>
              </w:rPr>
              <w:t xml:space="preserve">pada hari terakhir </w:t>
            </w:r>
            <w:r>
              <w:rPr>
                <w:rFonts w:ascii="Arial" w:hAnsi="Arial" w:cs="Arial"/>
                <w:bCs/>
                <w:sz w:val="21"/>
                <w:szCs w:val="21"/>
                <w:lang w:eastAsia="en-GB"/>
              </w:rPr>
              <w:t xml:space="preserve">Periode Ketersediaan Fasilitas Talangan Ekuitas </w:t>
            </w:r>
            <w:r>
              <w:rPr>
                <w:rFonts w:ascii="Arial" w:hAnsi="Arial" w:cs="Arial"/>
                <w:sz w:val="21"/>
                <w:szCs w:val="21"/>
              </w:rPr>
              <w:t xml:space="preserve">dan berdasarkan jumlah yang dibatalkan atas </w:t>
            </w:r>
            <w:r>
              <w:rPr>
                <w:rFonts w:ascii="Arial" w:hAnsi="Arial" w:cs="Arial"/>
                <w:bCs/>
                <w:sz w:val="21"/>
                <w:szCs w:val="21"/>
                <w:lang w:eastAsia="en-GB"/>
              </w:rPr>
              <w:t>Fasilitas Talangan Ekuitas</w:t>
            </w:r>
            <w:r>
              <w:rPr>
                <w:rFonts w:ascii="Arial" w:hAnsi="Arial" w:cs="Arial"/>
                <w:sz w:val="21"/>
                <w:szCs w:val="21"/>
                <w:lang w:val="en-US"/>
              </w:rPr>
              <w:t xml:space="preserve"> </w:t>
            </w:r>
            <w:r>
              <w:rPr>
                <w:rFonts w:ascii="Arial" w:hAnsi="Arial" w:cs="Arial"/>
                <w:sz w:val="21"/>
                <w:szCs w:val="21"/>
              </w:rPr>
              <w:t>pada saat berlakunya pembatalan secara penuh,</w:t>
            </w:r>
            <w:r>
              <w:rPr>
                <w:rFonts w:ascii="Arial" w:hAnsi="Arial" w:cs="Arial"/>
                <w:bCs/>
                <w:sz w:val="21"/>
                <w:szCs w:val="21"/>
                <w:lang w:eastAsia="en-GB"/>
              </w:rPr>
              <w:t xml:space="preserve"> yang tertunggak.</w:t>
            </w:r>
          </w:p>
        </w:tc>
      </w:tr>
      <w:tr>
        <w:tblPrEx>
          <w:tblCellMar>
            <w:top w:w="0" w:type="dxa"/>
            <w:left w:w="108" w:type="dxa"/>
            <w:bottom w:w="0" w:type="dxa"/>
            <w:right w:w="108" w:type="dxa"/>
          </w:tblCellMar>
        </w:tblPrEx>
        <w:trPr>
          <w:cantSplit/>
        </w:trPr>
        <w:tc>
          <w:tcPr>
            <w:tcW w:w="2077" w:type="pct"/>
          </w:tcPr>
          <w:p>
            <w:pPr>
              <w:pStyle w:val="101"/>
              <w:keepNext/>
              <w:spacing w:after="120"/>
              <w:rPr>
                <w:rFonts w:ascii="Arial" w:hAnsi="Arial" w:cs="Arial"/>
                <w:i/>
                <w:iCs/>
                <w:sz w:val="21"/>
                <w:szCs w:val="21"/>
                <w:lang w:eastAsia="en-GB"/>
              </w:rPr>
            </w:pPr>
          </w:p>
        </w:tc>
        <w:tc>
          <w:tcPr>
            <w:tcW w:w="2923" w:type="pct"/>
          </w:tcPr>
          <w:p>
            <w:pPr>
              <w:pStyle w:val="101"/>
              <w:keepNext/>
              <w:spacing w:after="120"/>
              <w:rPr>
                <w:rFonts w:ascii="Arial" w:hAnsi="Arial" w:cs="Arial"/>
                <w:i/>
                <w:iCs/>
                <w:sz w:val="21"/>
                <w:szCs w:val="21"/>
                <w:lang w:eastAsia="en-GB"/>
              </w:rPr>
            </w:pPr>
            <w:r>
              <w:rPr>
                <w:rFonts w:ascii="Arial" w:hAnsi="Arial" w:cs="Arial"/>
                <w:sz w:val="21"/>
                <w:szCs w:val="21"/>
              </w:rPr>
              <w:t>[</w:t>
            </w:r>
            <w:r>
              <w:rPr>
                <w:rFonts w:ascii="Arial" w:hAnsi="Arial" w:cs="Arial"/>
                <w:i/>
                <w:iCs/>
                <w:sz w:val="21"/>
                <w:szCs w:val="21"/>
              </w:rPr>
              <w:t>Biaya-biaya lain akan dimasukkan, antara lain biaya-biaya keagenan</w:t>
            </w:r>
            <w:r>
              <w:rPr>
                <w:rFonts w:ascii="Arial" w:hAnsi="Arial" w:cs="Arial"/>
                <w:sz w:val="21"/>
                <w:szCs w:val="21"/>
              </w:rPr>
              <w:t>]</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Periode Ketersediaan:</w:t>
            </w:r>
          </w:p>
        </w:tc>
        <w:tc>
          <w:tcPr>
            <w:tcW w:w="2923" w:type="pct"/>
          </w:tcPr>
          <w:p>
            <w:pPr>
              <w:pStyle w:val="3"/>
              <w:widowControl w:val="0"/>
              <w:spacing w:after="120"/>
              <w:ind w:left="0"/>
              <w:rPr>
                <w:rFonts w:ascii="Arial" w:hAnsi="Arial" w:cs="Arial"/>
                <w:sz w:val="21"/>
                <w:szCs w:val="21"/>
              </w:rPr>
            </w:pPr>
            <w:r>
              <w:rPr>
                <w:rFonts w:ascii="Arial" w:hAnsi="Arial" w:cs="Arial"/>
                <w:sz w:val="21"/>
                <w:szCs w:val="21"/>
              </w:rPr>
              <w:t>Sejak [</w:t>
            </w:r>
            <w:r>
              <w:rPr>
                <w:rFonts w:ascii="Arial" w:hAnsi="Arial" w:cs="Arial"/>
                <w:sz w:val="21"/>
                <w:szCs w:val="21"/>
                <w:lang w:eastAsia="en-GB"/>
              </w:rPr>
              <w:t xml:space="preserve">tanggal Perjanjian ini </w:t>
            </w:r>
            <w:r>
              <w:rPr>
                <w:rFonts w:ascii="Arial" w:hAnsi="Arial" w:cs="Arial"/>
                <w:sz w:val="21"/>
                <w:szCs w:val="21"/>
              </w:rPr>
              <w:t>] sampa</w:t>
            </w:r>
            <w:r>
              <w:rPr>
                <w:rFonts w:ascii="Arial" w:hAnsi="Arial" w:cs="Arial"/>
                <w:sz w:val="21"/>
                <w:szCs w:val="21"/>
                <w:lang w:val="en-US"/>
              </w:rPr>
              <w:t>i</w:t>
            </w:r>
            <w:r>
              <w:rPr>
                <w:rFonts w:ascii="Arial" w:hAnsi="Arial" w:cs="Arial"/>
                <w:sz w:val="21"/>
                <w:szCs w:val="21"/>
              </w:rPr>
              <w:t xml:space="preserve"> dengan [</w:t>
            </w:r>
            <w:r>
              <w:rPr>
                <w:rFonts w:ascii="Arial" w:hAnsi="Arial" w:cs="Arial"/>
                <w:sz w:val="21"/>
                <w:szCs w:val="21"/>
                <w:lang w:eastAsia="en-GB"/>
              </w:rPr>
              <w:t>●</w:t>
            </w:r>
            <w:r>
              <w:rPr>
                <w:rFonts w:ascii="Arial" w:hAnsi="Arial" w:cs="Arial"/>
                <w:sz w:val="21"/>
                <w:szCs w:val="21"/>
              </w:rPr>
              <w:t>].</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Jumlah Minimal Setiap Penggunaan:</w:t>
            </w:r>
          </w:p>
        </w:tc>
        <w:tc>
          <w:tcPr>
            <w:tcW w:w="2923" w:type="pct"/>
          </w:tcPr>
          <w:p>
            <w:pPr>
              <w:pStyle w:val="3"/>
              <w:widowControl w:val="0"/>
              <w:spacing w:after="120"/>
              <w:ind w:left="0"/>
              <w:rPr>
                <w:rFonts w:ascii="Arial" w:hAnsi="Arial" w:cs="Arial"/>
                <w:sz w:val="21"/>
                <w:szCs w:val="21"/>
              </w:rPr>
            </w:pPr>
            <w:r>
              <w:rPr>
                <w:rFonts w:ascii="Arial" w:hAnsi="Arial" w:cs="Arial"/>
                <w:sz w:val="21"/>
                <w:szCs w:val="21"/>
              </w:rPr>
              <w:t>Setiap Penggunaan harus dalam jumlah minimal sebesar [</w:t>
            </w:r>
            <w:r>
              <w:rPr>
                <w:rFonts w:ascii="Arial" w:hAnsi="Arial" w:cs="Arial"/>
                <w:i/>
                <w:sz w:val="21"/>
                <w:szCs w:val="21"/>
              </w:rPr>
              <w:t>masukkan jumlah</w:t>
            </w:r>
            <w:r>
              <w:rPr>
                <w:rFonts w:ascii="Arial" w:hAnsi="Arial" w:cs="Arial"/>
                <w:sz w:val="21"/>
                <w:szCs w:val="21"/>
              </w:rPr>
              <w:t>].</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Frekuensi Penggunaan-penggunaan:</w:t>
            </w:r>
          </w:p>
        </w:tc>
        <w:tc>
          <w:tcPr>
            <w:tcW w:w="2923" w:type="pct"/>
          </w:tcPr>
          <w:p>
            <w:pPr>
              <w:pStyle w:val="3"/>
              <w:widowControl w:val="0"/>
              <w:spacing w:after="120"/>
              <w:ind w:left="0"/>
              <w:rPr>
                <w:rFonts w:ascii="Arial" w:hAnsi="Arial" w:cs="Arial"/>
                <w:sz w:val="21"/>
                <w:szCs w:val="21"/>
              </w:rPr>
            </w:pPr>
            <w:r>
              <w:rPr>
                <w:rFonts w:ascii="Arial" w:hAnsi="Arial" w:cs="Arial"/>
                <w:sz w:val="21"/>
                <w:szCs w:val="21"/>
              </w:rPr>
              <w:t>Penggunaan-(penggunaan) dapat dimohonkan tidak lebih dari [</w:t>
            </w:r>
            <w:r>
              <w:rPr>
                <w:rFonts w:ascii="Arial" w:hAnsi="Arial" w:cs="Arial"/>
                <w:sz w:val="21"/>
                <w:szCs w:val="21"/>
                <w:lang w:eastAsia="en-GB"/>
              </w:rPr>
              <w:t>●</w:t>
            </w:r>
            <w:r>
              <w:rPr>
                <w:rFonts w:ascii="Arial" w:hAnsi="Arial" w:cs="Arial"/>
                <w:sz w:val="21"/>
                <w:szCs w:val="21"/>
              </w:rPr>
              <w:t>] kali pada setiap bulan kalender</w:t>
            </w:r>
            <w:r>
              <w:rPr>
                <w:rFonts w:ascii="Arial" w:hAnsi="Arial" w:cs="Arial"/>
                <w:sz w:val="21"/>
                <w:szCs w:val="21"/>
                <w:vertAlign w:val="superscript"/>
              </w:rPr>
              <w:t xml:space="preserve"> </w:t>
            </w:r>
            <w:r>
              <w:rPr>
                <w:rStyle w:val="25"/>
                <w:rFonts w:ascii="Arial" w:hAnsi="Arial" w:cs="Arial"/>
                <w:sz w:val="21"/>
                <w:szCs w:val="21"/>
              </w:rPr>
              <w:footnoteReference w:id="66"/>
            </w:r>
            <w:r>
              <w:rPr>
                <w:rFonts w:ascii="Arial" w:hAnsi="Arial" w:cs="Arial"/>
                <w:sz w:val="21"/>
                <w:szCs w:val="21"/>
              </w:rPr>
              <w:t>.</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Tujuan:</w:t>
            </w:r>
          </w:p>
        </w:tc>
        <w:tc>
          <w:tcPr>
            <w:tcW w:w="2923" w:type="pct"/>
          </w:tcPr>
          <w:p>
            <w:pPr>
              <w:pStyle w:val="3"/>
              <w:widowControl w:val="0"/>
              <w:spacing w:after="120"/>
              <w:ind w:left="0"/>
              <w:rPr>
                <w:rFonts w:ascii="Arial" w:hAnsi="Arial" w:cs="Arial"/>
                <w:sz w:val="21"/>
                <w:szCs w:val="21"/>
              </w:rPr>
            </w:pPr>
            <w:r>
              <w:rPr>
                <w:rFonts w:ascii="Arial" w:hAnsi="Arial" w:cs="Arial"/>
                <w:sz w:val="21"/>
                <w:szCs w:val="21"/>
              </w:rPr>
              <w:t xml:space="preserve">Untuk mendanai </w:t>
            </w:r>
            <w:r>
              <w:rPr>
                <w:rFonts w:ascii="Arial" w:hAnsi="Arial" w:cs="Arial"/>
                <w:sz w:val="21"/>
                <w:szCs w:val="21"/>
                <w:lang w:eastAsia="zh-CN"/>
              </w:rPr>
              <w:t>Biaya-biaya Proyek</w:t>
            </w:r>
            <w:r>
              <w:rPr>
                <w:rFonts w:ascii="Arial" w:hAnsi="Arial" w:cs="Arial"/>
                <w:sz w:val="21"/>
                <w:szCs w:val="21"/>
              </w:rPr>
              <w:t xml:space="preserve">. </w:t>
            </w:r>
          </w:p>
        </w:tc>
      </w:tr>
      <w:tr>
        <w:tblPrEx>
          <w:tblCellMar>
            <w:top w:w="0" w:type="dxa"/>
            <w:left w:w="108" w:type="dxa"/>
            <w:bottom w:w="0" w:type="dxa"/>
            <w:right w:w="108" w:type="dxa"/>
          </w:tblCellMar>
        </w:tblPrEx>
        <w:trPr>
          <w:cantSplit/>
        </w:trPr>
        <w:tc>
          <w:tcPr>
            <w:tcW w:w="2077"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Prioritas Klaim-klaim Para Kreditur:</w:t>
            </w:r>
          </w:p>
        </w:tc>
        <w:tc>
          <w:tcPr>
            <w:tcW w:w="2923" w:type="pct"/>
          </w:tcPr>
          <w:p>
            <w:pPr>
              <w:pStyle w:val="3"/>
              <w:widowControl w:val="0"/>
              <w:spacing w:after="120"/>
              <w:ind w:left="0"/>
              <w:rPr>
                <w:rFonts w:ascii="Arial" w:hAnsi="Arial" w:cs="Arial"/>
                <w:sz w:val="21"/>
                <w:szCs w:val="21"/>
              </w:rPr>
            </w:pPr>
            <w:r>
              <w:rPr>
                <w:rFonts w:ascii="Arial" w:hAnsi="Arial" w:cs="Arial"/>
                <w:sz w:val="21"/>
                <w:szCs w:val="21"/>
              </w:rPr>
              <w:t>Disubordinasikan ke Fasilitas Pinjaman Berjangka [dan [</w:t>
            </w:r>
            <w:r>
              <w:rPr>
                <w:rFonts w:ascii="Arial" w:hAnsi="Arial" w:cs="Arial"/>
                <w:i/>
                <w:iCs/>
                <w:sz w:val="21"/>
                <w:szCs w:val="21"/>
              </w:rPr>
              <w:t>masukkan Fasilitas-fasilitas senior lainnya</w:t>
            </w:r>
            <w:r>
              <w:rPr>
                <w:rFonts w:ascii="Arial" w:hAnsi="Arial" w:cs="Arial"/>
                <w:sz w:val="21"/>
                <w:szCs w:val="21"/>
              </w:rPr>
              <w:t>]].]</w:t>
            </w:r>
          </w:p>
        </w:tc>
      </w:tr>
    </w:tbl>
    <w:p>
      <w:pPr>
        <w:pStyle w:val="105"/>
        <w:spacing w:after="120"/>
        <w:rPr>
          <w:rFonts w:ascii="Arial" w:hAnsi="Arial" w:cs="Arial"/>
          <w:sz w:val="21"/>
          <w:szCs w:val="21"/>
          <w:lang w:eastAsia="zh-CN"/>
        </w:rPr>
      </w:pPr>
      <w:bookmarkStart w:id="71" w:name="_Toc74860676"/>
      <w:bookmarkStart w:id="72" w:name="_Toc74557530"/>
      <w:r>
        <w:rPr>
          <w:rFonts w:ascii="Arial" w:hAnsi="Arial" w:cs="Arial"/>
          <w:sz w:val="21"/>
          <w:szCs w:val="21"/>
          <w:lang w:eastAsia="zh-CN"/>
        </w:rPr>
        <w:t>[FASILITAS ECA</w:t>
      </w:r>
      <w:r>
        <w:rPr>
          <w:rStyle w:val="25"/>
          <w:rFonts w:ascii="Arial" w:hAnsi="Arial" w:cs="Arial"/>
          <w:sz w:val="21"/>
          <w:szCs w:val="21"/>
          <w:lang w:eastAsia="zh-CN"/>
        </w:rPr>
        <w:footnoteReference w:id="67"/>
      </w:r>
      <w:r>
        <w:rPr>
          <w:rFonts w:ascii="Arial" w:hAnsi="Arial" w:cs="Arial"/>
          <w:sz w:val="21"/>
          <w:szCs w:val="21"/>
          <w:lang w:eastAsia="zh-CN"/>
        </w:rPr>
        <w:t xml:space="preserve"> - [</w:t>
      </w:r>
      <w:r>
        <w:rPr>
          <w:rFonts w:ascii="Arial" w:hAnsi="Arial" w:cs="Arial"/>
          <w:i/>
          <w:iCs/>
          <w:sz w:val="21"/>
          <w:szCs w:val="21"/>
          <w:lang w:eastAsia="zh-CN"/>
        </w:rPr>
        <w:t>masukkan nama ECA</w:t>
      </w:r>
      <w:r>
        <w:rPr>
          <w:rFonts w:ascii="Arial" w:hAnsi="Arial" w:cs="Arial"/>
          <w:sz w:val="21"/>
          <w:szCs w:val="21"/>
          <w:lang w:eastAsia="zh-CN"/>
        </w:rPr>
        <w:t>]</w:t>
      </w:r>
      <w:bookmarkEnd w:id="71"/>
      <w:bookmarkEnd w:id="72"/>
    </w:p>
    <w:tbl>
      <w:tblPr>
        <w:tblStyle w:val="17"/>
        <w:tblW w:w="5000" w:type="pct"/>
        <w:tblInd w:w="-90" w:type="dxa"/>
        <w:tblLayout w:type="autofit"/>
        <w:tblCellMar>
          <w:top w:w="0" w:type="dxa"/>
          <w:left w:w="108" w:type="dxa"/>
          <w:bottom w:w="0" w:type="dxa"/>
          <w:right w:w="108" w:type="dxa"/>
        </w:tblCellMar>
      </w:tblPr>
      <w:tblGrid>
        <w:gridCol w:w="3663"/>
        <w:gridCol w:w="5220"/>
      </w:tblGrid>
      <w:tr>
        <w:tblPrEx>
          <w:tblCellMar>
            <w:top w:w="0" w:type="dxa"/>
            <w:left w:w="108" w:type="dxa"/>
            <w:bottom w:w="0" w:type="dxa"/>
            <w:right w:w="108" w:type="dxa"/>
          </w:tblCellMar>
        </w:tblPrEx>
        <w:trPr>
          <w:cantSplit/>
        </w:trPr>
        <w:tc>
          <w:tcPr>
            <w:tcW w:w="2062" w:type="pct"/>
          </w:tcPr>
          <w:p>
            <w:pPr>
              <w:pStyle w:val="103"/>
              <w:tabs>
                <w:tab w:val="clear" w:pos="766"/>
              </w:tabs>
              <w:spacing w:after="120"/>
              <w:ind w:left="720" w:right="113" w:hanging="720"/>
              <w:rPr>
                <w:rFonts w:ascii="Arial" w:hAnsi="Arial" w:cs="Arial"/>
                <w:b/>
                <w:bCs/>
                <w:sz w:val="21"/>
                <w:szCs w:val="21"/>
              </w:rPr>
            </w:pPr>
            <w:r>
              <w:rPr>
                <w:rFonts w:ascii="Arial" w:hAnsi="Arial" w:cs="Arial"/>
                <w:b/>
                <w:bCs/>
                <w:sz w:val="21"/>
                <w:szCs w:val="21"/>
              </w:rPr>
              <w:t>Fasilitas:</w:t>
            </w:r>
          </w:p>
        </w:tc>
        <w:tc>
          <w:tcPr>
            <w:tcW w:w="2938" w:type="pct"/>
          </w:tcPr>
          <w:p>
            <w:pPr>
              <w:pStyle w:val="101"/>
              <w:spacing w:after="120"/>
              <w:rPr>
                <w:rFonts w:ascii="Arial" w:hAnsi="Arial" w:cs="Arial"/>
                <w:sz w:val="21"/>
                <w:szCs w:val="21"/>
              </w:rPr>
            </w:pPr>
            <w:r>
              <w:rPr>
                <w:rFonts w:ascii="Arial" w:hAnsi="Arial" w:cs="Arial"/>
                <w:sz w:val="21"/>
                <w:szCs w:val="21"/>
              </w:rPr>
              <w:t>Fasilitas pinjaman berjangka.</w:t>
            </w:r>
          </w:p>
        </w:tc>
      </w:tr>
      <w:tr>
        <w:tblPrEx>
          <w:tblCellMar>
            <w:top w:w="0" w:type="dxa"/>
            <w:left w:w="108" w:type="dxa"/>
            <w:bottom w:w="0" w:type="dxa"/>
            <w:right w:w="108" w:type="dxa"/>
          </w:tblCellMar>
        </w:tblPrEx>
        <w:trPr>
          <w:cantSplit/>
        </w:trPr>
        <w:tc>
          <w:tcPr>
            <w:tcW w:w="2062"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Jumlah:</w:t>
            </w:r>
          </w:p>
        </w:tc>
        <w:tc>
          <w:tcPr>
            <w:tcW w:w="2938" w:type="pct"/>
          </w:tcPr>
          <w:p>
            <w:pPr>
              <w:pStyle w:val="101"/>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 mata uang dan jumlah fasilitas</w:t>
            </w:r>
            <w:r>
              <w:rPr>
                <w:rFonts w:ascii="Arial" w:hAnsi="Arial" w:cs="Arial"/>
                <w:sz w:val="21"/>
                <w:szCs w:val="21"/>
              </w:rPr>
              <w:t>].</w:t>
            </w:r>
          </w:p>
        </w:tc>
      </w:tr>
      <w:tr>
        <w:tblPrEx>
          <w:tblCellMar>
            <w:top w:w="0" w:type="dxa"/>
            <w:left w:w="108" w:type="dxa"/>
            <w:bottom w:w="0" w:type="dxa"/>
            <w:right w:w="108" w:type="dxa"/>
          </w:tblCellMar>
        </w:tblPrEx>
        <w:trPr>
          <w:cantSplit/>
        </w:trPr>
        <w:tc>
          <w:tcPr>
            <w:tcW w:w="2062"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Margin:</w:t>
            </w:r>
          </w:p>
        </w:tc>
        <w:tc>
          <w:tcPr>
            <w:tcW w:w="2938" w:type="pct"/>
          </w:tcPr>
          <w:p>
            <w:pPr>
              <w:pStyle w:val="3"/>
              <w:widowControl w:val="0"/>
              <w:spacing w:after="120"/>
              <w:ind w:left="0"/>
              <w:rPr>
                <w:rFonts w:ascii="Arial" w:hAnsi="Arial" w:cs="Arial"/>
                <w:sz w:val="21"/>
                <w:szCs w:val="21"/>
              </w:rPr>
            </w:pPr>
            <w:r>
              <w:rPr>
                <w:rFonts w:ascii="Arial" w:hAnsi="Arial" w:cs="Arial"/>
                <w:sz w:val="21"/>
                <w:szCs w:val="21"/>
              </w:rPr>
              <w:t>[</w:t>
            </w:r>
            <w:r>
              <w:rPr>
                <w:rFonts w:ascii="Arial" w:hAnsi="Arial" w:cs="Arial"/>
                <w:sz w:val="21"/>
                <w:szCs w:val="21"/>
                <w:lang w:eastAsia="en-GB"/>
              </w:rPr>
              <w:t>●</w:t>
            </w:r>
            <w:r>
              <w:rPr>
                <w:rFonts w:ascii="Arial" w:hAnsi="Arial" w:cs="Arial"/>
                <w:sz w:val="21"/>
                <w:szCs w:val="21"/>
              </w:rPr>
              <w:t>]% per tahun.</w:t>
            </w:r>
          </w:p>
        </w:tc>
      </w:tr>
      <w:tr>
        <w:tblPrEx>
          <w:tblCellMar>
            <w:top w:w="0" w:type="dxa"/>
            <w:left w:w="108" w:type="dxa"/>
            <w:bottom w:w="0" w:type="dxa"/>
            <w:right w:w="108" w:type="dxa"/>
          </w:tblCellMar>
        </w:tblPrEx>
        <w:trPr>
          <w:cantSplit/>
        </w:trPr>
        <w:tc>
          <w:tcPr>
            <w:tcW w:w="2062"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Suku Bunga:</w:t>
            </w:r>
          </w:p>
        </w:tc>
        <w:tc>
          <w:tcPr>
            <w:tcW w:w="2938" w:type="pct"/>
          </w:tcPr>
          <w:p>
            <w:pPr>
              <w:pStyle w:val="3"/>
              <w:widowControl w:val="0"/>
              <w:spacing w:after="120"/>
              <w:ind w:left="0"/>
              <w:rPr>
                <w:rFonts w:ascii="Arial" w:hAnsi="Arial" w:cs="Arial"/>
                <w:sz w:val="21"/>
                <w:szCs w:val="21"/>
              </w:rPr>
            </w:pPr>
            <w:r>
              <w:rPr>
                <w:rFonts w:ascii="Arial" w:hAnsi="Arial" w:cs="Arial"/>
                <w:sz w:val="21"/>
                <w:szCs w:val="21"/>
                <w:lang w:eastAsia="en-GB"/>
              </w:rPr>
              <w:t xml:space="preserve">Margin yang berlaku </w:t>
            </w:r>
            <w:r>
              <w:rPr>
                <w:rFonts w:ascii="Arial" w:hAnsi="Arial" w:cs="Arial"/>
                <w:i/>
                <w:sz w:val="21"/>
                <w:szCs w:val="21"/>
                <w:lang w:eastAsia="en-GB"/>
              </w:rPr>
              <w:t xml:space="preserve">ditambah </w:t>
            </w:r>
            <w:r>
              <w:rPr>
                <w:rFonts w:ascii="Arial" w:hAnsi="Arial" w:cs="Arial"/>
                <w:iCs/>
                <w:sz w:val="21"/>
                <w:szCs w:val="21"/>
                <w:lang w:eastAsia="en-GB"/>
              </w:rPr>
              <w:t>[enam (6)]-bulan</w:t>
            </w:r>
            <w:r>
              <w:rPr>
                <w:rFonts w:ascii="Arial" w:hAnsi="Arial" w:cs="Arial"/>
                <w:sz w:val="21"/>
                <w:szCs w:val="21"/>
                <w:lang w:eastAsia="en-GB"/>
              </w:rPr>
              <w:t xml:space="preserve"> (atau setiap periode lainnya yang disepakati antara Debitur</w:t>
            </w:r>
            <w:bookmarkStart w:id="73" w:name="_9kMH1I6ZWu4AB7HLcY4xoiyZP68xwL"/>
            <w:r>
              <w:rPr>
                <w:rFonts w:ascii="Arial" w:hAnsi="Arial" w:cs="Arial"/>
                <w:sz w:val="21"/>
                <w:szCs w:val="21"/>
                <w:lang w:eastAsia="en-GB"/>
              </w:rPr>
              <w:t xml:space="preserve"> </w:t>
            </w:r>
            <w:bookmarkEnd w:id="73"/>
            <w:r>
              <w:rPr>
                <w:rFonts w:ascii="Arial" w:hAnsi="Arial" w:cs="Arial"/>
                <w:sz w:val="21"/>
                <w:szCs w:val="21"/>
                <w:lang w:eastAsia="en-GB"/>
              </w:rPr>
              <w:t xml:space="preserve">dan Agen </w:t>
            </w:r>
            <w:r>
              <w:rPr>
                <w:rFonts w:ascii="Arial" w:hAnsi="Arial" w:cs="Arial"/>
                <w:sz w:val="21"/>
                <w:szCs w:val="21"/>
                <w:lang w:val="en-US" w:eastAsia="en-GB"/>
              </w:rPr>
              <w:t>Antarkreditur</w:t>
            </w:r>
            <w:r>
              <w:rPr>
                <w:rFonts w:ascii="Arial" w:hAnsi="Arial" w:cs="Arial"/>
                <w:sz w:val="21"/>
                <w:szCs w:val="21"/>
                <w:lang w:eastAsia="en-GB"/>
              </w:rPr>
              <w:t>) [</w:t>
            </w:r>
            <w:r>
              <w:rPr>
                <w:rFonts w:ascii="Arial" w:hAnsi="Arial" w:cs="Arial"/>
                <w:i/>
                <w:iCs/>
                <w:sz w:val="21"/>
                <w:szCs w:val="21"/>
                <w:lang w:eastAsia="en-GB"/>
              </w:rPr>
              <w:t>masukkan tolok ukur yang berlaku</w:t>
            </w:r>
            <w:r>
              <w:rPr>
                <w:rFonts w:ascii="Arial" w:hAnsi="Arial" w:cs="Arial"/>
                <w:sz w:val="21"/>
                <w:szCs w:val="21"/>
                <w:lang w:eastAsia="en-GB"/>
              </w:rPr>
              <w:t>]</w:t>
            </w:r>
            <w:r>
              <w:rPr>
                <w:rStyle w:val="25"/>
                <w:rFonts w:ascii="Arial" w:hAnsi="Arial" w:cs="Arial"/>
                <w:sz w:val="21"/>
                <w:szCs w:val="21"/>
                <w:lang w:eastAsia="en-GB"/>
              </w:rPr>
              <w:footnoteReference w:id="68"/>
            </w:r>
            <w:r>
              <w:rPr>
                <w:rFonts w:ascii="Arial" w:hAnsi="Arial" w:cs="Arial"/>
                <w:sz w:val="21"/>
                <w:szCs w:val="21"/>
                <w:lang w:eastAsia="en-GB"/>
              </w:rPr>
              <w:t xml:space="preserve"> yang dihitung berdasarkan</w:t>
            </w:r>
            <w:r>
              <w:rPr>
                <w:rFonts w:ascii="Arial" w:hAnsi="Arial" w:cs="Arial"/>
                <w:sz w:val="21"/>
                <w:szCs w:val="21"/>
              </w:rPr>
              <w:t xml:space="preserve"> jumlah hari sebenarnya yang telah berlalu pada setiap Periode Bunga dan dalam waktu satu tahun yang terdiri dari [360/365] hari</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62"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Periode Bunga:</w:t>
            </w:r>
          </w:p>
        </w:tc>
        <w:tc>
          <w:tcPr>
            <w:tcW w:w="2938" w:type="pct"/>
          </w:tcPr>
          <w:p>
            <w:pPr>
              <w:pStyle w:val="3"/>
              <w:widowControl w:val="0"/>
              <w:spacing w:after="120"/>
              <w:ind w:left="0"/>
              <w:rPr>
                <w:rFonts w:ascii="Arial" w:hAnsi="Arial" w:cs="Arial"/>
                <w:sz w:val="21"/>
                <w:szCs w:val="21"/>
              </w:rPr>
            </w:pPr>
            <w:r>
              <w:rPr>
                <w:rFonts w:ascii="Arial" w:hAnsi="Arial" w:cs="Arial"/>
                <w:sz w:val="21"/>
                <w:szCs w:val="21"/>
              </w:rPr>
              <w:t xml:space="preserve">[Enam (6)] Bulan atau setiap periode lainnya yang disepakati antara Debitur dan Agen </w:t>
            </w:r>
            <w:r>
              <w:rPr>
                <w:rFonts w:ascii="Arial" w:hAnsi="Arial" w:cs="Arial"/>
                <w:sz w:val="21"/>
                <w:szCs w:val="21"/>
                <w:lang w:val="en-US"/>
              </w:rPr>
              <w:t>Antarkreditur</w:t>
            </w:r>
            <w:r>
              <w:rPr>
                <w:rFonts w:ascii="Arial" w:hAnsi="Arial" w:cs="Arial"/>
                <w:sz w:val="21"/>
                <w:szCs w:val="21"/>
              </w:rPr>
              <w:t>.</w:t>
            </w:r>
          </w:p>
        </w:tc>
      </w:tr>
      <w:tr>
        <w:tblPrEx>
          <w:tblCellMar>
            <w:top w:w="0" w:type="dxa"/>
            <w:left w:w="108" w:type="dxa"/>
            <w:bottom w:w="0" w:type="dxa"/>
            <w:right w:w="108" w:type="dxa"/>
          </w:tblCellMar>
        </w:tblPrEx>
        <w:trPr>
          <w:cantSplit/>
        </w:trPr>
        <w:tc>
          <w:tcPr>
            <w:tcW w:w="2062"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Biaya-biaya:</w:t>
            </w:r>
          </w:p>
        </w:tc>
        <w:tc>
          <w:tcPr>
            <w:tcW w:w="2938" w:type="pct"/>
          </w:tcPr>
          <w:p>
            <w:pPr>
              <w:pStyle w:val="101"/>
              <w:keepNext/>
              <w:spacing w:after="120"/>
              <w:rPr>
                <w:rFonts w:ascii="Arial" w:hAnsi="Arial" w:cs="Arial"/>
                <w:i/>
                <w:iCs/>
                <w:sz w:val="21"/>
                <w:szCs w:val="21"/>
                <w:lang w:eastAsia="en-GB"/>
              </w:rPr>
            </w:pPr>
            <w:r>
              <w:rPr>
                <w:rFonts w:ascii="Arial" w:hAnsi="Arial" w:cs="Arial"/>
                <w:i/>
                <w:iCs/>
                <w:sz w:val="21"/>
                <w:szCs w:val="21"/>
                <w:lang w:eastAsia="en-GB"/>
              </w:rPr>
              <w:t>Biaya Komitmen:</w:t>
            </w:r>
          </w:p>
        </w:tc>
      </w:tr>
      <w:tr>
        <w:tblPrEx>
          <w:tblCellMar>
            <w:top w:w="0" w:type="dxa"/>
            <w:left w:w="108" w:type="dxa"/>
            <w:bottom w:w="0" w:type="dxa"/>
            <w:right w:w="108" w:type="dxa"/>
          </w:tblCellMar>
        </w:tblPrEx>
        <w:trPr>
          <w:cantSplit/>
        </w:trPr>
        <w:tc>
          <w:tcPr>
            <w:tcW w:w="2062" w:type="pct"/>
          </w:tcPr>
          <w:p>
            <w:pPr>
              <w:pStyle w:val="101"/>
              <w:keepNext/>
              <w:spacing w:after="120"/>
              <w:rPr>
                <w:rFonts w:ascii="Arial" w:hAnsi="Arial" w:cs="Arial"/>
                <w:i/>
                <w:iCs/>
                <w:sz w:val="21"/>
                <w:szCs w:val="21"/>
                <w:lang w:eastAsia="en-GB"/>
              </w:rPr>
            </w:pPr>
          </w:p>
        </w:tc>
        <w:tc>
          <w:tcPr>
            <w:tcW w:w="2938" w:type="pct"/>
          </w:tcPr>
          <w:p>
            <w:pPr>
              <w:pStyle w:val="99"/>
              <w:tabs>
                <w:tab w:val="clear" w:pos="720"/>
              </w:tabs>
              <w:spacing w:after="120"/>
              <w:rPr>
                <w:rFonts w:ascii="Arial" w:hAnsi="Arial" w:cs="Arial"/>
                <w:sz w:val="21"/>
                <w:szCs w:val="21"/>
                <w:lang w:eastAsia="en-GB"/>
              </w:rPr>
            </w:pPr>
            <w:r>
              <w:rPr>
                <w:rFonts w:ascii="Arial" w:hAnsi="Arial" w:cs="Arial"/>
                <w:sz w:val="21"/>
                <w:szCs w:val="21"/>
                <w:lang w:eastAsia="en-GB"/>
              </w:rPr>
              <w:t xml:space="preserve">[●]% </w:t>
            </w:r>
            <w:r>
              <w:rPr>
                <w:rFonts w:ascii="Arial" w:hAnsi="Arial" w:cs="Arial"/>
                <w:sz w:val="21"/>
                <w:szCs w:val="21"/>
              </w:rPr>
              <w:t>per tahun berdasarkan bagian dari jumlah fasilitas yang belum ditarik dan belum dibatalkan</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62" w:type="pct"/>
          </w:tcPr>
          <w:p>
            <w:pPr>
              <w:pStyle w:val="101"/>
              <w:keepNext/>
              <w:spacing w:after="120"/>
              <w:rPr>
                <w:rFonts w:ascii="Arial" w:hAnsi="Arial" w:cs="Arial"/>
                <w:i/>
                <w:iCs/>
                <w:sz w:val="21"/>
                <w:szCs w:val="21"/>
                <w:lang w:eastAsia="en-GB"/>
              </w:rPr>
            </w:pPr>
          </w:p>
        </w:tc>
        <w:tc>
          <w:tcPr>
            <w:tcW w:w="2938" w:type="pct"/>
          </w:tcPr>
          <w:p>
            <w:pPr>
              <w:pStyle w:val="99"/>
              <w:numPr>
                <w:ilvl w:val="4"/>
                <w:numId w:val="23"/>
              </w:numPr>
              <w:tabs>
                <w:tab w:val="clear" w:pos="720"/>
              </w:tabs>
              <w:spacing w:after="120"/>
              <w:rPr>
                <w:rFonts w:ascii="Arial" w:hAnsi="Arial" w:cs="Arial"/>
                <w:bCs/>
                <w:sz w:val="21"/>
                <w:szCs w:val="21"/>
                <w:lang w:eastAsia="en-GB"/>
              </w:rPr>
            </w:pPr>
            <w:r>
              <w:rPr>
                <w:rFonts w:ascii="Arial" w:hAnsi="Arial" w:cs="Arial"/>
                <w:sz w:val="21"/>
                <w:szCs w:val="21"/>
                <w:lang w:eastAsia="en-GB"/>
              </w:rPr>
              <w:t>Biaya-biaya Komitmen akan bertambah pada dan sejak [</w:t>
            </w:r>
            <w:r>
              <w:rPr>
                <w:rFonts w:ascii="Arial" w:hAnsi="Arial" w:cs="Arial"/>
                <w:i/>
                <w:iCs/>
                <w:sz w:val="21"/>
                <w:szCs w:val="21"/>
                <w:lang w:eastAsia="en-GB"/>
              </w:rPr>
              <w:t>awal Periode Ketersediaan Fasilitas ECA</w:t>
            </w:r>
            <w:r>
              <w:rPr>
                <w:rFonts w:ascii="Arial" w:hAnsi="Arial" w:cs="Arial"/>
                <w:sz w:val="21"/>
                <w:szCs w:val="21"/>
                <w:lang w:eastAsia="en-GB"/>
              </w:rPr>
              <w:t xml:space="preserve">] </w:t>
            </w:r>
            <w:r>
              <w:rPr>
                <w:rFonts w:ascii="Arial" w:hAnsi="Arial" w:cs="Arial"/>
                <w:bCs/>
                <w:sz w:val="21"/>
                <w:szCs w:val="21"/>
                <w:lang w:eastAsia="en-GB"/>
              </w:rPr>
              <w:t xml:space="preserve">sampai dengan hari terakhir Periode Ketersediaan Fasilitas ECA dan harus dibayar pada setiap Tanggal Pembayaran Bunga, </w:t>
            </w:r>
            <w:r>
              <w:rPr>
                <w:rFonts w:ascii="Arial" w:hAnsi="Arial" w:cs="Arial"/>
                <w:sz w:val="21"/>
                <w:szCs w:val="21"/>
              </w:rPr>
              <w:t xml:space="preserve">pada hari terakhir </w:t>
            </w:r>
            <w:r>
              <w:rPr>
                <w:rFonts w:ascii="Arial" w:hAnsi="Arial" w:cs="Arial"/>
                <w:bCs/>
                <w:sz w:val="21"/>
                <w:szCs w:val="21"/>
                <w:lang w:eastAsia="en-GB"/>
              </w:rPr>
              <w:t>Periode Ketersediaan Fasilitas ECA</w:t>
            </w:r>
            <w:r>
              <w:rPr>
                <w:rFonts w:ascii="Arial" w:hAnsi="Arial" w:cs="Arial"/>
                <w:sz w:val="21"/>
                <w:szCs w:val="21"/>
              </w:rPr>
              <w:t xml:space="preserve"> dan berdasarkan jumlah yang dibatalkan atas </w:t>
            </w:r>
            <w:r>
              <w:rPr>
                <w:rFonts w:ascii="Arial" w:hAnsi="Arial" w:cs="Arial"/>
                <w:bCs/>
                <w:sz w:val="21"/>
                <w:szCs w:val="21"/>
                <w:lang w:eastAsia="en-GB"/>
              </w:rPr>
              <w:t>Fasilitas ECA</w:t>
            </w:r>
            <w:r>
              <w:rPr>
                <w:rFonts w:ascii="Arial" w:hAnsi="Arial" w:cs="Arial"/>
                <w:sz w:val="21"/>
                <w:szCs w:val="21"/>
              </w:rPr>
              <w:t xml:space="preserve"> pada saat berlakunya pembatalan secara penuh,</w:t>
            </w:r>
            <w:r>
              <w:rPr>
                <w:rFonts w:ascii="Arial" w:hAnsi="Arial" w:cs="Arial"/>
                <w:bCs/>
                <w:sz w:val="21"/>
                <w:szCs w:val="21"/>
                <w:lang w:eastAsia="en-GB"/>
              </w:rPr>
              <w:t xml:space="preserve"> yang tertunggak.</w:t>
            </w:r>
          </w:p>
        </w:tc>
      </w:tr>
      <w:tr>
        <w:tblPrEx>
          <w:tblCellMar>
            <w:top w:w="0" w:type="dxa"/>
            <w:left w:w="108" w:type="dxa"/>
            <w:bottom w:w="0" w:type="dxa"/>
            <w:right w:w="108" w:type="dxa"/>
          </w:tblCellMar>
        </w:tblPrEx>
        <w:trPr>
          <w:cantSplit/>
        </w:trPr>
        <w:tc>
          <w:tcPr>
            <w:tcW w:w="2062" w:type="pct"/>
          </w:tcPr>
          <w:p>
            <w:pPr>
              <w:pStyle w:val="101"/>
              <w:keepNext/>
              <w:spacing w:after="120"/>
              <w:rPr>
                <w:rFonts w:ascii="Arial" w:hAnsi="Arial" w:cs="Arial"/>
                <w:i/>
                <w:iCs/>
                <w:sz w:val="21"/>
                <w:szCs w:val="21"/>
                <w:lang w:eastAsia="en-GB"/>
              </w:rPr>
            </w:pPr>
          </w:p>
        </w:tc>
        <w:tc>
          <w:tcPr>
            <w:tcW w:w="2938" w:type="pct"/>
          </w:tcPr>
          <w:p>
            <w:pPr>
              <w:pStyle w:val="101"/>
              <w:keepNext/>
              <w:spacing w:after="120"/>
              <w:rPr>
                <w:rFonts w:ascii="Arial" w:hAnsi="Arial" w:cs="Arial"/>
                <w:i/>
                <w:iCs/>
                <w:sz w:val="21"/>
                <w:szCs w:val="21"/>
                <w:lang w:eastAsia="en-GB"/>
              </w:rPr>
            </w:pPr>
            <w:r>
              <w:rPr>
                <w:rFonts w:ascii="Arial" w:hAnsi="Arial" w:cs="Arial"/>
                <w:sz w:val="21"/>
                <w:szCs w:val="21"/>
              </w:rPr>
              <w:t>[</w:t>
            </w:r>
            <w:r>
              <w:rPr>
                <w:rFonts w:ascii="Arial" w:hAnsi="Arial" w:cs="Arial"/>
                <w:i/>
                <w:iCs/>
                <w:sz w:val="21"/>
                <w:szCs w:val="21"/>
              </w:rPr>
              <w:t>Biaya-biaya lain akan dimasukkan, antara lain biaya-biaya keagenan</w:t>
            </w:r>
            <w:r>
              <w:rPr>
                <w:rFonts w:ascii="Arial" w:hAnsi="Arial" w:cs="Arial"/>
                <w:sz w:val="21"/>
                <w:szCs w:val="21"/>
              </w:rPr>
              <w:t>]</w:t>
            </w:r>
          </w:p>
        </w:tc>
      </w:tr>
      <w:tr>
        <w:tblPrEx>
          <w:tblCellMar>
            <w:top w:w="0" w:type="dxa"/>
            <w:left w:w="108" w:type="dxa"/>
            <w:bottom w:w="0" w:type="dxa"/>
            <w:right w:w="108" w:type="dxa"/>
          </w:tblCellMar>
        </w:tblPrEx>
        <w:trPr>
          <w:cantSplit/>
        </w:trPr>
        <w:tc>
          <w:tcPr>
            <w:tcW w:w="2062"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Premi ECA:</w:t>
            </w:r>
          </w:p>
        </w:tc>
        <w:tc>
          <w:tcPr>
            <w:tcW w:w="2938" w:type="pct"/>
          </w:tcPr>
          <w:p>
            <w:pPr>
              <w:pStyle w:val="101"/>
              <w:keepNext/>
              <w:spacing w:after="120"/>
              <w:rPr>
                <w:rFonts w:ascii="Arial" w:hAnsi="Arial" w:cs="Arial"/>
                <w:sz w:val="21"/>
                <w:szCs w:val="21"/>
                <w:lang w:eastAsia="en-GB"/>
              </w:rPr>
            </w:pPr>
            <w:r>
              <w:rPr>
                <w:rFonts w:ascii="Arial" w:hAnsi="Arial" w:cs="Arial"/>
                <w:sz w:val="21"/>
                <w:szCs w:val="21"/>
                <w:lang w:eastAsia="en-GB"/>
              </w:rPr>
              <w:t>[</w:t>
            </w:r>
            <w:bookmarkStart w:id="74" w:name="_9kMJ1E7ZVw9A67AB"/>
            <w:bookmarkStart w:id="75" w:name="_9kMJ1G6ZWu9A67EI"/>
            <w:r>
              <w:rPr>
                <w:rFonts w:ascii="Arial" w:hAnsi="Arial" w:cs="Arial"/>
                <w:sz w:val="21"/>
                <w:szCs w:val="21"/>
                <w:lang w:eastAsia="en-GB"/>
              </w:rPr>
              <w:sym w:font="Symbol" w:char="F0B7"/>
            </w:r>
            <w:bookmarkEnd w:id="74"/>
            <w:bookmarkEnd w:id="75"/>
            <w:r>
              <w:rPr>
                <w:rFonts w:ascii="Arial" w:hAnsi="Arial" w:cs="Arial"/>
                <w:sz w:val="21"/>
                <w:szCs w:val="21"/>
                <w:lang w:eastAsia="en-GB"/>
              </w:rPr>
              <w:t>] / [Akan disepakati antara Perusahaan Proyek dan ECA terkait].</w:t>
            </w:r>
          </w:p>
        </w:tc>
      </w:tr>
      <w:tr>
        <w:tblPrEx>
          <w:tblCellMar>
            <w:top w:w="0" w:type="dxa"/>
            <w:left w:w="108" w:type="dxa"/>
            <w:bottom w:w="0" w:type="dxa"/>
            <w:right w:w="108" w:type="dxa"/>
          </w:tblCellMar>
        </w:tblPrEx>
        <w:trPr>
          <w:cantSplit/>
        </w:trPr>
        <w:tc>
          <w:tcPr>
            <w:tcW w:w="2062"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Periode Ketersediaan:</w:t>
            </w:r>
          </w:p>
        </w:tc>
        <w:tc>
          <w:tcPr>
            <w:tcW w:w="2938" w:type="pct"/>
          </w:tcPr>
          <w:p>
            <w:pPr>
              <w:pStyle w:val="3"/>
              <w:widowControl w:val="0"/>
              <w:spacing w:after="120"/>
              <w:ind w:left="0"/>
              <w:rPr>
                <w:rFonts w:ascii="Arial" w:hAnsi="Arial" w:cs="Arial"/>
                <w:sz w:val="21"/>
                <w:szCs w:val="21"/>
              </w:rPr>
            </w:pPr>
            <w:r>
              <w:rPr>
                <w:rFonts w:ascii="Arial" w:hAnsi="Arial" w:cs="Arial"/>
                <w:sz w:val="21"/>
                <w:szCs w:val="21"/>
              </w:rPr>
              <w:t>Sejak [tanggal Perjanjian] sampai dengan [tanggal yang jatuh pada [satu bulan] sebelum Tanggal Jatuh Tempo Akhir].</w:t>
            </w:r>
          </w:p>
        </w:tc>
      </w:tr>
      <w:tr>
        <w:tblPrEx>
          <w:tblCellMar>
            <w:top w:w="0" w:type="dxa"/>
            <w:left w:w="108" w:type="dxa"/>
            <w:bottom w:w="0" w:type="dxa"/>
            <w:right w:w="108" w:type="dxa"/>
          </w:tblCellMar>
        </w:tblPrEx>
        <w:trPr>
          <w:cantSplit/>
        </w:trPr>
        <w:tc>
          <w:tcPr>
            <w:tcW w:w="2062"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Jumlah Minimal Setiap Penggunaan:</w:t>
            </w:r>
          </w:p>
        </w:tc>
        <w:tc>
          <w:tcPr>
            <w:tcW w:w="2938" w:type="pct"/>
          </w:tcPr>
          <w:p>
            <w:pPr>
              <w:pStyle w:val="3"/>
              <w:widowControl w:val="0"/>
              <w:spacing w:after="120"/>
              <w:ind w:left="0"/>
              <w:rPr>
                <w:rFonts w:ascii="Arial" w:hAnsi="Arial" w:cs="Arial"/>
                <w:sz w:val="21"/>
                <w:szCs w:val="21"/>
              </w:rPr>
            </w:pPr>
            <w:r>
              <w:rPr>
                <w:rFonts w:ascii="Arial" w:hAnsi="Arial" w:cs="Arial"/>
                <w:sz w:val="21"/>
                <w:szCs w:val="21"/>
              </w:rPr>
              <w:t>Setiap Penggunaan harus dalam jumlah minimal sebesar [</w:t>
            </w:r>
            <w:r>
              <w:rPr>
                <w:rFonts w:ascii="Arial" w:hAnsi="Arial" w:cs="Arial"/>
                <w:i/>
                <w:sz w:val="21"/>
                <w:szCs w:val="21"/>
              </w:rPr>
              <w:t>masukkan jumlah</w:t>
            </w:r>
            <w:r>
              <w:rPr>
                <w:rFonts w:ascii="Arial" w:hAnsi="Arial" w:cs="Arial"/>
                <w:sz w:val="21"/>
                <w:szCs w:val="21"/>
              </w:rPr>
              <w:t>].</w:t>
            </w:r>
          </w:p>
        </w:tc>
      </w:tr>
      <w:tr>
        <w:tblPrEx>
          <w:tblCellMar>
            <w:top w:w="0" w:type="dxa"/>
            <w:left w:w="108" w:type="dxa"/>
            <w:bottom w:w="0" w:type="dxa"/>
            <w:right w:w="108" w:type="dxa"/>
          </w:tblCellMar>
        </w:tblPrEx>
        <w:trPr>
          <w:cantSplit/>
        </w:trPr>
        <w:tc>
          <w:tcPr>
            <w:tcW w:w="2062" w:type="pct"/>
          </w:tcPr>
          <w:p>
            <w:pPr>
              <w:pStyle w:val="103"/>
              <w:widowControl w:val="0"/>
              <w:tabs>
                <w:tab w:val="clear" w:pos="766"/>
              </w:tabs>
              <w:spacing w:after="120"/>
              <w:ind w:left="720" w:hanging="720"/>
              <w:rPr>
                <w:rFonts w:ascii="Arial" w:hAnsi="Arial" w:cs="Arial"/>
                <w:b/>
                <w:bCs/>
                <w:sz w:val="21"/>
                <w:szCs w:val="21"/>
              </w:rPr>
            </w:pPr>
            <w:r>
              <w:rPr>
                <w:rFonts w:ascii="Arial" w:hAnsi="Arial" w:cs="Arial"/>
                <w:b/>
                <w:bCs/>
                <w:sz w:val="21"/>
                <w:szCs w:val="21"/>
              </w:rPr>
              <w:t>Frekuensi Penggunaan-penggunaan:</w:t>
            </w:r>
          </w:p>
        </w:tc>
        <w:tc>
          <w:tcPr>
            <w:tcW w:w="2938" w:type="pct"/>
          </w:tcPr>
          <w:p>
            <w:pPr>
              <w:pStyle w:val="3"/>
              <w:widowControl w:val="0"/>
              <w:spacing w:after="120"/>
              <w:ind w:left="0"/>
              <w:rPr>
                <w:rFonts w:ascii="Arial" w:hAnsi="Arial" w:cs="Arial"/>
                <w:sz w:val="21"/>
                <w:szCs w:val="21"/>
              </w:rPr>
            </w:pPr>
            <w:r>
              <w:rPr>
                <w:rFonts w:ascii="Arial" w:hAnsi="Arial" w:cs="Arial"/>
                <w:sz w:val="21"/>
                <w:szCs w:val="21"/>
              </w:rPr>
              <w:t>Penggunaan-(penggunaan) dapat dimohonkan tidak lebih dari [●] kali pada setiap bulan kalender</w:t>
            </w:r>
            <w:r>
              <w:rPr>
                <w:rFonts w:ascii="Arial" w:hAnsi="Arial" w:cs="Arial"/>
                <w:sz w:val="21"/>
                <w:szCs w:val="21"/>
                <w:vertAlign w:val="superscript"/>
              </w:rPr>
              <w:t xml:space="preserve"> </w:t>
            </w:r>
            <w:r>
              <w:rPr>
                <w:rStyle w:val="25"/>
                <w:rFonts w:ascii="Arial" w:hAnsi="Arial" w:cs="Arial"/>
                <w:sz w:val="21"/>
                <w:szCs w:val="21"/>
              </w:rPr>
              <w:footnoteReference w:id="69"/>
            </w:r>
            <w:r>
              <w:rPr>
                <w:rFonts w:ascii="Arial" w:hAnsi="Arial" w:cs="Arial"/>
                <w:sz w:val="21"/>
                <w:szCs w:val="21"/>
              </w:rPr>
              <w:t>.</w:t>
            </w:r>
          </w:p>
        </w:tc>
      </w:tr>
      <w:tr>
        <w:tblPrEx>
          <w:tblCellMar>
            <w:top w:w="0" w:type="dxa"/>
            <w:left w:w="108" w:type="dxa"/>
            <w:bottom w:w="0" w:type="dxa"/>
            <w:right w:w="108" w:type="dxa"/>
          </w:tblCellMar>
        </w:tblPrEx>
        <w:trPr>
          <w:cantSplit/>
          <w:trHeight w:val="2250" w:hRule="atLeast"/>
        </w:trPr>
        <w:tc>
          <w:tcPr>
            <w:tcW w:w="2062" w:type="pct"/>
          </w:tcPr>
          <w:p>
            <w:pPr>
              <w:pStyle w:val="103"/>
              <w:widowControl w:val="0"/>
              <w:tabs>
                <w:tab w:val="clear" w:pos="766"/>
              </w:tabs>
              <w:spacing w:after="120"/>
              <w:ind w:left="720" w:hanging="720"/>
              <w:rPr>
                <w:rFonts w:ascii="Arial" w:hAnsi="Arial" w:cs="Arial"/>
                <w:b/>
                <w:bCs/>
                <w:sz w:val="21"/>
                <w:szCs w:val="21"/>
              </w:rPr>
            </w:pPr>
            <w:r>
              <w:rPr>
                <w:rFonts w:ascii="Arial" w:hAnsi="Arial" w:cs="Arial"/>
                <w:b/>
                <w:bCs/>
                <w:sz w:val="21"/>
                <w:szCs w:val="21"/>
              </w:rPr>
              <w:t>Tujuan:</w:t>
            </w:r>
          </w:p>
        </w:tc>
        <w:tc>
          <w:tcPr>
            <w:tcW w:w="2938" w:type="pct"/>
          </w:tcPr>
          <w:p>
            <w:pPr>
              <w:pStyle w:val="99"/>
              <w:tabs>
                <w:tab w:val="clear" w:pos="720"/>
              </w:tabs>
              <w:spacing w:after="120"/>
              <w:rPr>
                <w:rFonts w:ascii="Arial" w:hAnsi="Arial" w:cs="Arial"/>
                <w:sz w:val="21"/>
                <w:szCs w:val="21"/>
              </w:rPr>
            </w:pPr>
            <w:r>
              <w:rPr>
                <w:rFonts w:ascii="Arial" w:hAnsi="Arial" w:cs="Arial"/>
                <w:sz w:val="21"/>
                <w:szCs w:val="21"/>
                <w:lang w:eastAsia="en-GB"/>
              </w:rPr>
              <w:t>Untuk</w:t>
            </w:r>
            <w:r>
              <w:rPr>
                <w:rFonts w:ascii="Arial" w:hAnsi="Arial" w:cs="Arial"/>
                <w:sz w:val="21"/>
                <w:szCs w:val="21"/>
              </w:rPr>
              <w:t xml:space="preserve"> mendanai pembayaran-pembayaran dalam jumlah yang tidak melebihi [[●]% dari] jumlah keseluruhan yang harus dibayar kepada [eksportir yang memenuhi syarat] yang terkait berdasarkan suatu [kontrak yang memenuhi syarat] untuk tujuan pembelian [konten-konten yang memenuhi syarat]</w:t>
            </w:r>
            <w:r>
              <w:rPr>
                <w:rStyle w:val="25"/>
                <w:rFonts w:ascii="Arial" w:hAnsi="Arial" w:cs="Arial"/>
                <w:sz w:val="21"/>
                <w:szCs w:val="21"/>
              </w:rPr>
              <w:footnoteReference w:id="70"/>
            </w:r>
            <w:r>
              <w:rPr>
                <w:rFonts w:ascii="Arial" w:hAnsi="Arial" w:cs="Arial"/>
                <w:sz w:val="21"/>
                <w:szCs w:val="21"/>
              </w:rPr>
              <w:t>][; dan</w:t>
            </w:r>
          </w:p>
        </w:tc>
      </w:tr>
      <w:tr>
        <w:tblPrEx>
          <w:tblCellMar>
            <w:top w:w="0" w:type="dxa"/>
            <w:left w:w="108" w:type="dxa"/>
            <w:bottom w:w="0" w:type="dxa"/>
            <w:right w:w="108" w:type="dxa"/>
          </w:tblCellMar>
        </w:tblPrEx>
        <w:trPr>
          <w:cantSplit/>
          <w:trHeight w:val="441" w:hRule="atLeast"/>
        </w:trPr>
        <w:tc>
          <w:tcPr>
            <w:tcW w:w="2062" w:type="pct"/>
          </w:tcPr>
          <w:p>
            <w:pPr>
              <w:pStyle w:val="3"/>
              <w:widowControl w:val="0"/>
              <w:spacing w:after="100"/>
              <w:ind w:left="720" w:hanging="720"/>
              <w:rPr>
                <w:rFonts w:ascii="Arial" w:hAnsi="Arial" w:cs="Arial"/>
                <w:b/>
                <w:bCs/>
                <w:sz w:val="21"/>
                <w:szCs w:val="21"/>
              </w:rPr>
            </w:pPr>
          </w:p>
        </w:tc>
        <w:tc>
          <w:tcPr>
            <w:tcW w:w="2938" w:type="pct"/>
          </w:tcPr>
          <w:p>
            <w:pPr>
              <w:pStyle w:val="99"/>
              <w:tabs>
                <w:tab w:val="clear" w:pos="720"/>
              </w:tabs>
              <w:spacing w:after="120"/>
              <w:rPr>
                <w:rFonts w:ascii="Arial" w:hAnsi="Arial" w:cs="Arial"/>
                <w:sz w:val="21"/>
                <w:szCs w:val="21"/>
              </w:rPr>
            </w:pPr>
            <w:r>
              <w:rPr>
                <w:rFonts w:ascii="Arial" w:hAnsi="Arial" w:cs="Arial"/>
                <w:sz w:val="21"/>
                <w:szCs w:val="21"/>
              </w:rPr>
              <w:t xml:space="preserve">untuk </w:t>
            </w:r>
            <w:r>
              <w:rPr>
                <w:rFonts w:ascii="Arial" w:hAnsi="Arial" w:cs="Arial"/>
                <w:sz w:val="21"/>
                <w:szCs w:val="21"/>
                <w:lang w:eastAsia="en-GB"/>
              </w:rPr>
              <w:t>membayar</w:t>
            </w:r>
            <w:r>
              <w:rPr>
                <w:rFonts w:ascii="Arial" w:hAnsi="Arial" w:cs="Arial"/>
                <w:sz w:val="21"/>
                <w:szCs w:val="21"/>
              </w:rPr>
              <w:t xml:space="preserve"> [hingga [</w:t>
            </w:r>
            <w:bookmarkStart w:id="76" w:name="_9kMJ4H7ZVw9A67AB"/>
            <w:bookmarkStart w:id="77" w:name="_9kMJ4J6ZWu9A67EI"/>
            <w:r>
              <w:rPr>
                <w:rFonts w:ascii="Arial" w:hAnsi="Arial" w:cs="Arial"/>
                <w:sz w:val="21"/>
                <w:szCs w:val="21"/>
              </w:rPr>
              <w:sym w:font="Symbol" w:char="F0B7"/>
            </w:r>
            <w:bookmarkEnd w:id="76"/>
            <w:bookmarkEnd w:id="77"/>
            <w:r>
              <w:rPr>
                <w:rFonts w:ascii="Arial" w:hAnsi="Arial" w:cs="Arial"/>
                <w:sz w:val="21"/>
                <w:szCs w:val="21"/>
              </w:rPr>
              <w:t>]% dari] Premi ECA]</w:t>
            </w:r>
            <w:bookmarkStart w:id="78" w:name="_9kR3WTr5DA4AF"/>
            <w:r>
              <w:rPr>
                <w:rFonts w:ascii="Arial" w:hAnsi="Arial" w:cs="Arial"/>
                <w:sz w:val="21"/>
                <w:szCs w:val="21"/>
              </w:rPr>
              <w:t>.]</w:t>
            </w:r>
            <w:bookmarkEnd w:id="78"/>
          </w:p>
        </w:tc>
      </w:tr>
    </w:tbl>
    <w:p>
      <w:pPr>
        <w:pStyle w:val="105"/>
        <w:spacing w:after="120"/>
        <w:rPr>
          <w:rFonts w:ascii="Arial" w:hAnsi="Arial" w:cs="Arial"/>
          <w:sz w:val="21"/>
          <w:szCs w:val="21"/>
          <w:lang w:eastAsia="zh-CN"/>
        </w:rPr>
      </w:pPr>
      <w:bookmarkStart w:id="79" w:name="_Toc74860677"/>
      <w:bookmarkStart w:id="80" w:name="_Toc74557531"/>
      <w:bookmarkStart w:id="81" w:name="_9kMH7M7ZVw8EB79G"/>
      <w:bookmarkStart w:id="82" w:name="_9kMH7O6ZWu8EB7DN"/>
      <w:r>
        <w:rPr>
          <w:rFonts w:ascii="Arial" w:hAnsi="Arial" w:cs="Arial"/>
          <w:sz w:val="21"/>
          <w:szCs w:val="21"/>
          <w:lang w:eastAsia="zh-CN"/>
        </w:rPr>
        <w:t>[FASILITAS DFI</w:t>
      </w:r>
      <w:r>
        <w:rPr>
          <w:rStyle w:val="25"/>
          <w:rFonts w:ascii="Arial" w:hAnsi="Arial" w:cs="Arial"/>
          <w:sz w:val="21"/>
          <w:szCs w:val="21"/>
          <w:lang w:eastAsia="zh-CN"/>
        </w:rPr>
        <w:footnoteReference w:id="71"/>
      </w:r>
      <w:r>
        <w:rPr>
          <w:rFonts w:ascii="Arial" w:hAnsi="Arial" w:cs="Arial"/>
          <w:sz w:val="21"/>
          <w:szCs w:val="21"/>
          <w:lang w:eastAsia="zh-CN"/>
        </w:rPr>
        <w:t xml:space="preserve"> - [</w:t>
      </w:r>
      <w:r>
        <w:rPr>
          <w:rFonts w:ascii="Arial" w:hAnsi="Arial" w:cs="Arial"/>
          <w:i/>
          <w:iCs/>
          <w:sz w:val="21"/>
          <w:szCs w:val="21"/>
          <w:lang w:eastAsia="zh-CN"/>
        </w:rPr>
        <w:t>masukkan nama DFI</w:t>
      </w:r>
      <w:r>
        <w:rPr>
          <w:rFonts w:ascii="Arial" w:hAnsi="Arial" w:cs="Arial"/>
          <w:sz w:val="21"/>
          <w:szCs w:val="21"/>
          <w:lang w:eastAsia="zh-CN"/>
        </w:rPr>
        <w:t>]</w:t>
      </w:r>
      <w:bookmarkEnd w:id="79"/>
      <w:bookmarkEnd w:id="80"/>
    </w:p>
    <w:tbl>
      <w:tblPr>
        <w:tblStyle w:val="17"/>
        <w:tblW w:w="4984" w:type="pct"/>
        <w:tblInd w:w="-90" w:type="dxa"/>
        <w:tblLayout w:type="autofit"/>
        <w:tblCellMar>
          <w:top w:w="0" w:type="dxa"/>
          <w:left w:w="108" w:type="dxa"/>
          <w:bottom w:w="0" w:type="dxa"/>
          <w:right w:w="108" w:type="dxa"/>
        </w:tblCellMar>
      </w:tblPr>
      <w:tblGrid>
        <w:gridCol w:w="3733"/>
        <w:gridCol w:w="5122"/>
      </w:tblGrid>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Fasilitas:</w:t>
            </w:r>
          </w:p>
        </w:tc>
        <w:tc>
          <w:tcPr>
            <w:tcW w:w="2892" w:type="pct"/>
          </w:tcPr>
          <w:p>
            <w:pPr>
              <w:pStyle w:val="101"/>
              <w:spacing w:after="120"/>
              <w:rPr>
                <w:rFonts w:ascii="Arial" w:hAnsi="Arial" w:cs="Arial"/>
                <w:sz w:val="21"/>
                <w:szCs w:val="21"/>
              </w:rPr>
            </w:pPr>
            <w:r>
              <w:rPr>
                <w:rFonts w:ascii="Arial" w:hAnsi="Arial" w:cs="Arial"/>
                <w:sz w:val="21"/>
                <w:szCs w:val="21"/>
              </w:rPr>
              <w:t>Fasilitas pinjaman berjangka.</w:t>
            </w:r>
          </w:p>
        </w:tc>
      </w:tr>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Jumlah:</w:t>
            </w:r>
          </w:p>
        </w:tc>
        <w:tc>
          <w:tcPr>
            <w:tcW w:w="2892" w:type="pct"/>
          </w:tcPr>
          <w:p>
            <w:pPr>
              <w:pStyle w:val="101"/>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 mata uang dan jumlah fasilitas</w:t>
            </w:r>
            <w:r>
              <w:rPr>
                <w:rFonts w:ascii="Arial" w:hAnsi="Arial" w:cs="Arial"/>
                <w:sz w:val="21"/>
                <w:szCs w:val="21"/>
              </w:rPr>
              <w:t>].</w:t>
            </w:r>
          </w:p>
        </w:tc>
      </w:tr>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Margin:</w:t>
            </w:r>
          </w:p>
        </w:tc>
        <w:tc>
          <w:tcPr>
            <w:tcW w:w="2892" w:type="pct"/>
          </w:tcPr>
          <w:p>
            <w:pPr>
              <w:pStyle w:val="3"/>
              <w:widowControl w:val="0"/>
              <w:spacing w:after="120"/>
              <w:ind w:left="0"/>
              <w:rPr>
                <w:rFonts w:ascii="Arial" w:hAnsi="Arial" w:cs="Arial"/>
                <w:sz w:val="21"/>
                <w:szCs w:val="21"/>
              </w:rPr>
            </w:pPr>
            <w:r>
              <w:rPr>
                <w:rFonts w:ascii="Arial" w:hAnsi="Arial" w:cs="Arial"/>
                <w:sz w:val="21"/>
                <w:szCs w:val="21"/>
              </w:rPr>
              <w:t>[</w:t>
            </w:r>
            <w:r>
              <w:rPr>
                <w:rFonts w:ascii="Arial" w:hAnsi="Arial" w:cs="Arial"/>
                <w:sz w:val="21"/>
                <w:szCs w:val="21"/>
                <w:lang w:eastAsia="en-GB"/>
              </w:rPr>
              <w:t>●</w:t>
            </w:r>
            <w:r>
              <w:rPr>
                <w:rFonts w:ascii="Arial" w:hAnsi="Arial" w:cs="Arial"/>
                <w:sz w:val="21"/>
                <w:szCs w:val="21"/>
              </w:rPr>
              <w:t>]% per tahun.</w:t>
            </w:r>
          </w:p>
        </w:tc>
      </w:tr>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Suku Bunga:</w:t>
            </w:r>
          </w:p>
        </w:tc>
        <w:tc>
          <w:tcPr>
            <w:tcW w:w="2892" w:type="pct"/>
          </w:tcPr>
          <w:p>
            <w:pPr>
              <w:pStyle w:val="3"/>
              <w:widowControl w:val="0"/>
              <w:spacing w:after="120"/>
              <w:ind w:left="0"/>
              <w:rPr>
                <w:rFonts w:ascii="Arial" w:hAnsi="Arial" w:cs="Arial"/>
                <w:sz w:val="21"/>
                <w:szCs w:val="21"/>
              </w:rPr>
            </w:pPr>
            <w:r>
              <w:rPr>
                <w:rFonts w:ascii="Arial" w:hAnsi="Arial" w:cs="Arial"/>
                <w:sz w:val="21"/>
                <w:szCs w:val="21"/>
                <w:lang w:eastAsia="en-GB"/>
              </w:rPr>
              <w:t xml:space="preserve">Margin yang berlaku </w:t>
            </w:r>
            <w:r>
              <w:rPr>
                <w:rFonts w:ascii="Arial" w:hAnsi="Arial" w:cs="Arial"/>
                <w:i/>
                <w:sz w:val="21"/>
                <w:szCs w:val="21"/>
                <w:lang w:eastAsia="en-GB"/>
              </w:rPr>
              <w:t xml:space="preserve">ditambah </w:t>
            </w:r>
            <w:r>
              <w:rPr>
                <w:rFonts w:ascii="Arial" w:hAnsi="Arial" w:cs="Arial"/>
                <w:iCs/>
                <w:sz w:val="21"/>
                <w:szCs w:val="21"/>
                <w:lang w:eastAsia="en-GB"/>
              </w:rPr>
              <w:t>[enam (6)]-bulan</w:t>
            </w:r>
            <w:r>
              <w:rPr>
                <w:rFonts w:ascii="Arial" w:hAnsi="Arial" w:cs="Arial"/>
                <w:sz w:val="21"/>
                <w:szCs w:val="21"/>
                <w:lang w:eastAsia="en-GB"/>
              </w:rPr>
              <w:t xml:space="preserve"> (atau setiap periode lainnya yang disepakati antara Debitur dan Agen </w:t>
            </w:r>
            <w:r>
              <w:rPr>
                <w:rFonts w:ascii="Arial" w:hAnsi="Arial" w:cs="Arial"/>
                <w:sz w:val="21"/>
                <w:szCs w:val="21"/>
                <w:lang w:val="en-US" w:eastAsia="en-GB"/>
              </w:rPr>
              <w:t>Antarkreditur</w:t>
            </w:r>
            <w:r>
              <w:rPr>
                <w:rFonts w:ascii="Arial" w:hAnsi="Arial" w:cs="Arial"/>
                <w:sz w:val="21"/>
                <w:szCs w:val="21"/>
                <w:lang w:eastAsia="en-GB"/>
              </w:rPr>
              <w:t>) [</w:t>
            </w:r>
            <w:r>
              <w:rPr>
                <w:rFonts w:ascii="Arial" w:hAnsi="Arial" w:cs="Arial"/>
                <w:i/>
                <w:iCs/>
                <w:sz w:val="21"/>
                <w:szCs w:val="21"/>
                <w:lang w:eastAsia="en-GB"/>
              </w:rPr>
              <w:t>masukkan tolok ukur yang berlaku</w:t>
            </w:r>
            <w:r>
              <w:rPr>
                <w:rFonts w:ascii="Arial" w:hAnsi="Arial" w:cs="Arial"/>
                <w:sz w:val="21"/>
                <w:szCs w:val="21"/>
                <w:lang w:eastAsia="en-GB"/>
              </w:rPr>
              <w:t>]</w:t>
            </w:r>
            <w:r>
              <w:rPr>
                <w:rStyle w:val="25"/>
                <w:rFonts w:ascii="Arial" w:hAnsi="Arial" w:cs="Arial"/>
                <w:sz w:val="21"/>
                <w:szCs w:val="21"/>
                <w:lang w:eastAsia="en-GB"/>
              </w:rPr>
              <w:footnoteReference w:id="72"/>
            </w:r>
            <w:r>
              <w:rPr>
                <w:rFonts w:ascii="Arial" w:hAnsi="Arial" w:cs="Arial"/>
                <w:sz w:val="21"/>
                <w:szCs w:val="21"/>
                <w:lang w:eastAsia="en-GB"/>
              </w:rPr>
              <w:t xml:space="preserve"> yang dihitung berdasarkan</w:t>
            </w:r>
            <w:r>
              <w:rPr>
                <w:rFonts w:ascii="Arial" w:hAnsi="Arial" w:cs="Arial"/>
                <w:sz w:val="21"/>
                <w:szCs w:val="21"/>
              </w:rPr>
              <w:t xml:space="preserve"> jumlah hari sebenarnya yang telah berlalu pada setiap Periode Bunga dan dalam waktu satu tahun yang terdiri dari [360/365] hari</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Periode Bunga:</w:t>
            </w:r>
          </w:p>
        </w:tc>
        <w:tc>
          <w:tcPr>
            <w:tcW w:w="2892" w:type="pct"/>
          </w:tcPr>
          <w:p>
            <w:pPr>
              <w:pStyle w:val="3"/>
              <w:widowControl w:val="0"/>
              <w:spacing w:after="120"/>
              <w:ind w:left="0"/>
              <w:rPr>
                <w:rFonts w:ascii="Arial" w:hAnsi="Arial" w:cs="Arial"/>
                <w:sz w:val="21"/>
                <w:szCs w:val="21"/>
              </w:rPr>
            </w:pPr>
            <w:r>
              <w:rPr>
                <w:rFonts w:ascii="Arial" w:hAnsi="Arial" w:cs="Arial"/>
                <w:sz w:val="21"/>
                <w:szCs w:val="21"/>
              </w:rPr>
              <w:t xml:space="preserve">[Enam (6)] Bulan atau setiap periode lainnya yang disepakati antara Debitur dan Agen </w:t>
            </w:r>
            <w:r>
              <w:rPr>
                <w:rFonts w:ascii="Arial" w:hAnsi="Arial" w:cs="Arial"/>
                <w:sz w:val="21"/>
                <w:szCs w:val="21"/>
                <w:lang w:val="en-US"/>
              </w:rPr>
              <w:t>Antarkreditur</w:t>
            </w:r>
            <w:r>
              <w:rPr>
                <w:rFonts w:ascii="Arial" w:hAnsi="Arial" w:cs="Arial"/>
                <w:sz w:val="21"/>
                <w:szCs w:val="21"/>
              </w:rPr>
              <w:t>.</w:t>
            </w:r>
          </w:p>
        </w:tc>
      </w:tr>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Biaya-biaya:</w:t>
            </w:r>
          </w:p>
        </w:tc>
        <w:tc>
          <w:tcPr>
            <w:tcW w:w="2892" w:type="pct"/>
          </w:tcPr>
          <w:p>
            <w:pPr>
              <w:pStyle w:val="101"/>
              <w:keepNext/>
              <w:spacing w:after="120"/>
              <w:rPr>
                <w:rFonts w:ascii="Arial" w:hAnsi="Arial" w:cs="Arial"/>
                <w:sz w:val="21"/>
                <w:szCs w:val="21"/>
                <w:lang w:eastAsia="en-GB"/>
              </w:rPr>
            </w:pPr>
            <w:r>
              <w:rPr>
                <w:rFonts w:ascii="Arial" w:hAnsi="Arial" w:cs="Arial"/>
                <w:i/>
                <w:iCs/>
                <w:sz w:val="21"/>
                <w:szCs w:val="21"/>
                <w:lang w:eastAsia="en-GB"/>
              </w:rPr>
              <w:t>Biaya Komitmen:</w:t>
            </w:r>
          </w:p>
        </w:tc>
      </w:tr>
      <w:tr>
        <w:tblPrEx>
          <w:tblCellMar>
            <w:top w:w="0" w:type="dxa"/>
            <w:left w:w="108" w:type="dxa"/>
            <w:bottom w:w="0" w:type="dxa"/>
            <w:right w:w="108" w:type="dxa"/>
          </w:tblCellMar>
        </w:tblPrEx>
        <w:trPr>
          <w:cantSplit/>
        </w:trPr>
        <w:tc>
          <w:tcPr>
            <w:tcW w:w="2108" w:type="pct"/>
          </w:tcPr>
          <w:p>
            <w:pPr>
              <w:pStyle w:val="101"/>
              <w:keepNext/>
              <w:spacing w:after="120"/>
              <w:rPr>
                <w:rFonts w:ascii="Arial" w:hAnsi="Arial" w:cs="Arial"/>
                <w:i/>
                <w:iCs/>
                <w:sz w:val="21"/>
                <w:szCs w:val="21"/>
                <w:lang w:eastAsia="en-GB"/>
              </w:rPr>
            </w:pPr>
          </w:p>
        </w:tc>
        <w:tc>
          <w:tcPr>
            <w:tcW w:w="2892" w:type="pct"/>
          </w:tcPr>
          <w:p>
            <w:pPr>
              <w:pStyle w:val="99"/>
              <w:tabs>
                <w:tab w:val="clear" w:pos="720"/>
              </w:tabs>
              <w:spacing w:after="120"/>
              <w:rPr>
                <w:rFonts w:ascii="Arial" w:hAnsi="Arial" w:cs="Arial"/>
                <w:i/>
                <w:iCs/>
                <w:sz w:val="21"/>
                <w:szCs w:val="21"/>
                <w:lang w:eastAsia="en-GB"/>
              </w:rPr>
            </w:pPr>
            <w:r>
              <w:rPr>
                <w:rFonts w:ascii="Arial" w:hAnsi="Arial" w:cs="Arial"/>
                <w:sz w:val="21"/>
                <w:szCs w:val="21"/>
                <w:lang w:eastAsia="en-GB"/>
              </w:rPr>
              <w:t xml:space="preserve">[●]% </w:t>
            </w:r>
            <w:r>
              <w:rPr>
                <w:rFonts w:ascii="Arial" w:hAnsi="Arial" w:cs="Arial"/>
                <w:sz w:val="21"/>
                <w:szCs w:val="21"/>
              </w:rPr>
              <w:t>per tahun berdasarkan bagian dari jumlah fasilitas yang belum ditarik dan belum dibatalkan</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108" w:type="pct"/>
          </w:tcPr>
          <w:p>
            <w:pPr>
              <w:pStyle w:val="101"/>
              <w:keepNext/>
              <w:spacing w:after="120"/>
              <w:rPr>
                <w:rFonts w:ascii="Arial" w:hAnsi="Arial" w:cs="Arial"/>
                <w:i/>
                <w:iCs/>
                <w:sz w:val="21"/>
                <w:szCs w:val="21"/>
                <w:lang w:eastAsia="en-GB"/>
              </w:rPr>
            </w:pPr>
          </w:p>
        </w:tc>
        <w:tc>
          <w:tcPr>
            <w:tcW w:w="2892" w:type="pct"/>
          </w:tcPr>
          <w:p>
            <w:pPr>
              <w:pStyle w:val="99"/>
              <w:numPr>
                <w:ilvl w:val="4"/>
                <w:numId w:val="24"/>
              </w:numPr>
              <w:tabs>
                <w:tab w:val="clear" w:pos="720"/>
              </w:tabs>
              <w:spacing w:after="120"/>
              <w:rPr>
                <w:rFonts w:ascii="Arial" w:hAnsi="Arial" w:cs="Arial"/>
                <w:bCs/>
                <w:sz w:val="21"/>
                <w:szCs w:val="21"/>
                <w:lang w:eastAsia="en-GB"/>
              </w:rPr>
            </w:pPr>
            <w:r>
              <w:rPr>
                <w:rFonts w:ascii="Arial" w:hAnsi="Arial" w:cs="Arial"/>
                <w:sz w:val="21"/>
                <w:szCs w:val="21"/>
                <w:lang w:eastAsia="en-GB"/>
              </w:rPr>
              <w:t>Biaya-biaya Komitmen akan bertambah pada dan sejak [</w:t>
            </w:r>
            <w:r>
              <w:rPr>
                <w:rFonts w:ascii="Arial" w:hAnsi="Arial" w:cs="Arial"/>
                <w:i/>
                <w:iCs/>
                <w:sz w:val="21"/>
                <w:szCs w:val="21"/>
                <w:lang w:eastAsia="en-GB"/>
              </w:rPr>
              <w:t>awal Periode Ketersediaan Fasilitas DFI</w:t>
            </w:r>
            <w:r>
              <w:rPr>
                <w:rFonts w:ascii="Arial" w:hAnsi="Arial" w:cs="Arial"/>
                <w:sz w:val="21"/>
                <w:szCs w:val="21"/>
                <w:lang w:eastAsia="en-GB"/>
              </w:rPr>
              <w:t xml:space="preserve">] </w:t>
            </w:r>
            <w:r>
              <w:rPr>
                <w:rFonts w:ascii="Arial" w:hAnsi="Arial" w:cs="Arial"/>
                <w:bCs/>
                <w:sz w:val="21"/>
                <w:szCs w:val="21"/>
                <w:lang w:eastAsia="en-GB"/>
              </w:rPr>
              <w:t xml:space="preserve">sampai dengan hari terakhir Periode Ketersediaan Fasilitas DFI dan harus dibayar pada setiap Tanggal Pembayaran Bunga, </w:t>
            </w:r>
            <w:r>
              <w:rPr>
                <w:rFonts w:ascii="Arial" w:hAnsi="Arial" w:cs="Arial"/>
                <w:sz w:val="21"/>
                <w:szCs w:val="21"/>
              </w:rPr>
              <w:t xml:space="preserve">pada hari terakhir </w:t>
            </w:r>
            <w:r>
              <w:rPr>
                <w:rFonts w:ascii="Arial" w:hAnsi="Arial" w:cs="Arial"/>
                <w:bCs/>
                <w:sz w:val="21"/>
                <w:szCs w:val="21"/>
                <w:lang w:eastAsia="en-GB"/>
              </w:rPr>
              <w:t>Periode Ketersediaan Fasilitas DFI</w:t>
            </w:r>
            <w:r>
              <w:rPr>
                <w:rFonts w:ascii="Arial" w:hAnsi="Arial" w:cs="Arial"/>
                <w:sz w:val="21"/>
                <w:szCs w:val="21"/>
              </w:rPr>
              <w:t xml:space="preserve"> dan berdasarkan jumlah yang dibatalkan atas </w:t>
            </w:r>
            <w:r>
              <w:rPr>
                <w:rFonts w:ascii="Arial" w:hAnsi="Arial" w:cs="Arial"/>
                <w:bCs/>
                <w:sz w:val="21"/>
                <w:szCs w:val="21"/>
                <w:lang w:eastAsia="en-GB"/>
              </w:rPr>
              <w:t>Fasilitas DFI</w:t>
            </w:r>
            <w:r>
              <w:rPr>
                <w:rFonts w:ascii="Arial" w:hAnsi="Arial" w:cs="Arial"/>
                <w:sz w:val="21"/>
                <w:szCs w:val="21"/>
              </w:rPr>
              <w:t xml:space="preserve"> pada saat berlakunya pembatalan secara penuh,</w:t>
            </w:r>
            <w:r>
              <w:rPr>
                <w:rFonts w:ascii="Arial" w:hAnsi="Arial" w:cs="Arial"/>
                <w:bCs/>
                <w:sz w:val="21"/>
                <w:szCs w:val="21"/>
                <w:lang w:eastAsia="en-GB"/>
              </w:rPr>
              <w:t xml:space="preserve"> yang tertunggak.</w:t>
            </w:r>
          </w:p>
        </w:tc>
      </w:tr>
      <w:tr>
        <w:tblPrEx>
          <w:tblCellMar>
            <w:top w:w="0" w:type="dxa"/>
            <w:left w:w="108" w:type="dxa"/>
            <w:bottom w:w="0" w:type="dxa"/>
            <w:right w:w="108" w:type="dxa"/>
          </w:tblCellMar>
        </w:tblPrEx>
        <w:trPr>
          <w:cantSplit/>
        </w:trPr>
        <w:tc>
          <w:tcPr>
            <w:tcW w:w="2108" w:type="pct"/>
          </w:tcPr>
          <w:p>
            <w:pPr>
              <w:pStyle w:val="101"/>
              <w:keepNext/>
              <w:spacing w:after="120"/>
              <w:rPr>
                <w:rFonts w:ascii="Arial" w:hAnsi="Arial" w:cs="Arial"/>
                <w:i/>
                <w:iCs/>
                <w:sz w:val="21"/>
                <w:szCs w:val="21"/>
                <w:lang w:eastAsia="en-GB"/>
              </w:rPr>
            </w:pPr>
          </w:p>
        </w:tc>
        <w:tc>
          <w:tcPr>
            <w:tcW w:w="2892" w:type="pct"/>
          </w:tcPr>
          <w:p>
            <w:pPr>
              <w:pStyle w:val="101"/>
              <w:keepNext/>
              <w:spacing w:after="120"/>
              <w:rPr>
                <w:rFonts w:ascii="Arial" w:hAnsi="Arial" w:cs="Arial"/>
                <w:i/>
                <w:iCs/>
                <w:sz w:val="21"/>
                <w:szCs w:val="21"/>
                <w:lang w:eastAsia="en-GB"/>
              </w:rPr>
            </w:pPr>
            <w:r>
              <w:rPr>
                <w:rFonts w:ascii="Arial" w:hAnsi="Arial" w:cs="Arial"/>
                <w:sz w:val="21"/>
                <w:szCs w:val="21"/>
              </w:rPr>
              <w:t>[</w:t>
            </w:r>
            <w:r>
              <w:rPr>
                <w:rFonts w:ascii="Arial" w:hAnsi="Arial" w:cs="Arial"/>
                <w:i/>
                <w:iCs/>
                <w:sz w:val="21"/>
                <w:szCs w:val="21"/>
              </w:rPr>
              <w:t>Biaya-biaya lain akan dimasukkan, antara lain biaya-biaya keagenan</w:t>
            </w:r>
            <w:r>
              <w:rPr>
                <w:rFonts w:ascii="Arial" w:hAnsi="Arial" w:cs="Arial"/>
                <w:sz w:val="21"/>
                <w:szCs w:val="21"/>
              </w:rPr>
              <w:t>]</w:t>
            </w:r>
          </w:p>
        </w:tc>
      </w:tr>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Premi</w:t>
            </w:r>
            <w:r>
              <w:rPr>
                <w:rFonts w:ascii="Arial" w:hAnsi="Arial" w:cs="Arial"/>
                <w:b/>
                <w:bCs/>
                <w:sz w:val="21"/>
                <w:szCs w:val="21"/>
                <w:lang w:val="en-US"/>
              </w:rPr>
              <w:t xml:space="preserve"> </w:t>
            </w:r>
            <w:r>
              <w:rPr>
                <w:rFonts w:ascii="Arial" w:hAnsi="Arial" w:cs="Arial"/>
                <w:b/>
                <w:bCs/>
                <w:sz w:val="21"/>
                <w:szCs w:val="21"/>
              </w:rPr>
              <w:t>DFI:</w:t>
            </w:r>
          </w:p>
        </w:tc>
        <w:tc>
          <w:tcPr>
            <w:tcW w:w="2892" w:type="pct"/>
          </w:tcPr>
          <w:p>
            <w:pPr>
              <w:pStyle w:val="101"/>
              <w:keepNext/>
              <w:spacing w:after="120"/>
              <w:rPr>
                <w:rFonts w:ascii="Arial" w:hAnsi="Arial" w:cs="Arial"/>
                <w:sz w:val="21"/>
                <w:szCs w:val="21"/>
                <w:lang w:eastAsia="en-GB"/>
              </w:rPr>
            </w:pPr>
            <w:r>
              <w:rPr>
                <w:rFonts w:ascii="Arial" w:hAnsi="Arial" w:cs="Arial"/>
                <w:sz w:val="21"/>
                <w:szCs w:val="21"/>
                <w:lang w:eastAsia="en-GB"/>
              </w:rPr>
              <w:t>[●] / [Akan disepakati antara Perusahaan Proyek dan DFI terkait].</w:t>
            </w:r>
          </w:p>
        </w:tc>
      </w:tr>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Periode Ketersediaan:</w:t>
            </w:r>
          </w:p>
        </w:tc>
        <w:tc>
          <w:tcPr>
            <w:tcW w:w="2892" w:type="pct"/>
          </w:tcPr>
          <w:p>
            <w:pPr>
              <w:pStyle w:val="3"/>
              <w:widowControl w:val="0"/>
              <w:spacing w:after="120"/>
              <w:ind w:left="0"/>
              <w:rPr>
                <w:rFonts w:ascii="Arial" w:hAnsi="Arial" w:cs="Arial"/>
                <w:sz w:val="21"/>
                <w:szCs w:val="21"/>
              </w:rPr>
            </w:pPr>
            <w:r>
              <w:rPr>
                <w:rFonts w:ascii="Arial" w:hAnsi="Arial" w:cs="Arial"/>
                <w:sz w:val="21"/>
                <w:szCs w:val="21"/>
              </w:rPr>
              <w:t>Sejak [tanggal Perjanjian] sampai dengan [tanggal yang jatuh pada [satu bulan] sebelum Tanggal Jatuh Tempo Akhir].</w:t>
            </w:r>
          </w:p>
        </w:tc>
      </w:tr>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Jumlah Minimal Setiap Penggunaan:</w:t>
            </w:r>
          </w:p>
        </w:tc>
        <w:tc>
          <w:tcPr>
            <w:tcW w:w="2892" w:type="pct"/>
          </w:tcPr>
          <w:p>
            <w:pPr>
              <w:pStyle w:val="3"/>
              <w:widowControl w:val="0"/>
              <w:spacing w:after="120"/>
              <w:ind w:left="0"/>
              <w:rPr>
                <w:rFonts w:ascii="Arial" w:hAnsi="Arial" w:cs="Arial"/>
                <w:sz w:val="21"/>
                <w:szCs w:val="21"/>
              </w:rPr>
            </w:pPr>
            <w:r>
              <w:rPr>
                <w:rFonts w:ascii="Arial" w:hAnsi="Arial" w:cs="Arial"/>
                <w:sz w:val="21"/>
                <w:szCs w:val="21"/>
              </w:rPr>
              <w:t>Setiap Penggunaan harus dalam jumlah minimal sebesar [</w:t>
            </w:r>
            <w:r>
              <w:rPr>
                <w:rFonts w:ascii="Arial" w:hAnsi="Arial" w:cs="Arial"/>
                <w:i/>
                <w:sz w:val="21"/>
                <w:szCs w:val="21"/>
              </w:rPr>
              <w:t>masukkan jumlah</w:t>
            </w:r>
            <w:r>
              <w:rPr>
                <w:rFonts w:ascii="Arial" w:hAnsi="Arial" w:cs="Arial"/>
                <w:sz w:val="21"/>
                <w:szCs w:val="21"/>
              </w:rPr>
              <w:t>].</w:t>
            </w:r>
          </w:p>
        </w:tc>
      </w:tr>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Frekuensi Penggunaan-penggunaan:</w:t>
            </w:r>
          </w:p>
        </w:tc>
        <w:tc>
          <w:tcPr>
            <w:tcW w:w="2892" w:type="pct"/>
          </w:tcPr>
          <w:p>
            <w:pPr>
              <w:pStyle w:val="3"/>
              <w:widowControl w:val="0"/>
              <w:spacing w:after="120"/>
              <w:ind w:left="0"/>
              <w:rPr>
                <w:rFonts w:ascii="Arial" w:hAnsi="Arial" w:cs="Arial"/>
                <w:sz w:val="21"/>
                <w:szCs w:val="21"/>
              </w:rPr>
            </w:pPr>
            <w:r>
              <w:rPr>
                <w:rFonts w:ascii="Arial" w:hAnsi="Arial" w:cs="Arial"/>
                <w:sz w:val="21"/>
                <w:szCs w:val="21"/>
              </w:rPr>
              <w:t>Penggunaan-(penggunaan) dapat dimohonkan tidak lebih dari [●] kali pada setiap bulan kalender</w:t>
            </w:r>
            <w:r>
              <w:rPr>
                <w:rFonts w:ascii="Arial" w:hAnsi="Arial" w:cs="Arial"/>
                <w:sz w:val="21"/>
                <w:szCs w:val="21"/>
                <w:vertAlign w:val="superscript"/>
              </w:rPr>
              <w:t xml:space="preserve"> </w:t>
            </w:r>
            <w:r>
              <w:rPr>
                <w:rStyle w:val="25"/>
                <w:rFonts w:ascii="Arial" w:hAnsi="Arial" w:cs="Arial"/>
                <w:sz w:val="21"/>
                <w:szCs w:val="21"/>
              </w:rPr>
              <w:footnoteReference w:id="73"/>
            </w:r>
            <w:r>
              <w:rPr>
                <w:rFonts w:ascii="Arial" w:hAnsi="Arial" w:cs="Arial"/>
                <w:sz w:val="21"/>
                <w:szCs w:val="21"/>
              </w:rPr>
              <w:t>.</w:t>
            </w:r>
          </w:p>
        </w:tc>
      </w:tr>
      <w:tr>
        <w:tblPrEx>
          <w:tblCellMar>
            <w:top w:w="0" w:type="dxa"/>
            <w:left w:w="108" w:type="dxa"/>
            <w:bottom w:w="0" w:type="dxa"/>
            <w:right w:w="108" w:type="dxa"/>
          </w:tblCellMar>
        </w:tblPrEx>
        <w:trPr>
          <w:cantSplit/>
        </w:trPr>
        <w:tc>
          <w:tcPr>
            <w:tcW w:w="2108"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Tujuan:</w:t>
            </w:r>
          </w:p>
        </w:tc>
        <w:tc>
          <w:tcPr>
            <w:tcW w:w="2892" w:type="pct"/>
          </w:tcPr>
          <w:p>
            <w:pPr>
              <w:pStyle w:val="3"/>
              <w:widowControl w:val="0"/>
              <w:spacing w:after="120"/>
              <w:ind w:left="720" w:hanging="720"/>
              <w:rPr>
                <w:rFonts w:ascii="Arial" w:hAnsi="Arial" w:cs="Arial"/>
                <w:sz w:val="21"/>
                <w:szCs w:val="21"/>
              </w:rPr>
            </w:pPr>
            <w:r>
              <w:rPr>
                <w:rFonts w:ascii="Arial" w:hAnsi="Arial" w:cs="Arial"/>
                <w:sz w:val="21"/>
                <w:szCs w:val="21"/>
              </w:rPr>
              <w:t>Untuk membiayai Biaya-biaya Proyek.]</w:t>
            </w:r>
          </w:p>
        </w:tc>
      </w:tr>
    </w:tbl>
    <w:p>
      <w:pPr>
        <w:pStyle w:val="105"/>
        <w:spacing w:after="120"/>
        <w:rPr>
          <w:rFonts w:ascii="Arial" w:hAnsi="Arial" w:cs="Arial"/>
          <w:sz w:val="21"/>
          <w:szCs w:val="21"/>
          <w:lang w:eastAsia="zh-CN"/>
        </w:rPr>
      </w:pPr>
      <w:bookmarkStart w:id="83" w:name="_Toc74557532"/>
      <w:bookmarkStart w:id="84" w:name="_Toc74860678"/>
      <w:r>
        <w:rPr>
          <w:rFonts w:ascii="Arial" w:hAnsi="Arial" w:cs="Arial"/>
          <w:sz w:val="21"/>
          <w:szCs w:val="21"/>
          <w:lang w:eastAsia="zh-CN"/>
        </w:rPr>
        <w:t>[</w:t>
      </w:r>
      <w:bookmarkEnd w:id="81"/>
      <w:bookmarkEnd w:id="82"/>
      <w:r>
        <w:rPr>
          <w:rFonts w:ascii="Arial" w:hAnsi="Arial" w:cs="Arial"/>
          <w:sz w:val="21"/>
          <w:szCs w:val="21"/>
          <w:lang w:eastAsia="zh-CN"/>
        </w:rPr>
        <w:t xml:space="preserve">FASILITAS </w:t>
      </w:r>
      <w:bookmarkEnd w:id="83"/>
      <w:r>
        <w:rPr>
          <w:rFonts w:ascii="Arial" w:hAnsi="Arial" w:cs="Arial"/>
          <w:sz w:val="21"/>
          <w:szCs w:val="21"/>
          <w:lang w:eastAsia="zh-CN"/>
        </w:rPr>
        <w:t>PPN/</w:t>
      </w:r>
      <w:r>
        <w:rPr>
          <w:rFonts w:ascii="Arial" w:hAnsi="Arial" w:cs="Arial"/>
          <w:b w:val="0"/>
          <w:sz w:val="16"/>
          <w:szCs w:val="16"/>
        </w:rPr>
        <w:t xml:space="preserve"> </w:t>
      </w:r>
      <w:r>
        <w:rPr>
          <w:rFonts w:ascii="Arial" w:hAnsi="Arial" w:cs="Arial"/>
          <w:sz w:val="21"/>
          <w:szCs w:val="21"/>
          <w:lang w:eastAsia="zh-CN"/>
        </w:rPr>
        <w:t>PAJAK BARANG DAN JASA (</w:t>
      </w:r>
      <w:r>
        <w:rPr>
          <w:rFonts w:ascii="Arial" w:hAnsi="Arial" w:cs="Arial"/>
          <w:i/>
          <w:iCs/>
          <w:sz w:val="21"/>
          <w:szCs w:val="21"/>
          <w:lang w:eastAsia="zh-CN"/>
        </w:rPr>
        <w:t>GST</w:t>
      </w:r>
      <w:r>
        <w:rPr>
          <w:rFonts w:ascii="Arial" w:hAnsi="Arial" w:cs="Arial"/>
          <w:sz w:val="21"/>
          <w:szCs w:val="21"/>
          <w:lang w:eastAsia="zh-CN"/>
        </w:rPr>
        <w:t>)</w:t>
      </w:r>
      <w:bookmarkEnd w:id="84"/>
    </w:p>
    <w:tbl>
      <w:tblPr>
        <w:tblStyle w:val="17"/>
        <w:tblW w:w="5000" w:type="pct"/>
        <w:tblInd w:w="-90" w:type="dxa"/>
        <w:tblLayout w:type="autofit"/>
        <w:tblCellMar>
          <w:top w:w="0" w:type="dxa"/>
          <w:left w:w="108" w:type="dxa"/>
          <w:bottom w:w="0" w:type="dxa"/>
          <w:right w:w="108" w:type="dxa"/>
        </w:tblCellMar>
      </w:tblPr>
      <w:tblGrid>
        <w:gridCol w:w="3642"/>
        <w:gridCol w:w="5241"/>
      </w:tblGrid>
      <w:tr>
        <w:tblPrEx>
          <w:tblCellMar>
            <w:top w:w="0" w:type="dxa"/>
            <w:left w:w="108" w:type="dxa"/>
            <w:bottom w:w="0" w:type="dxa"/>
            <w:right w:w="108" w:type="dxa"/>
          </w:tblCellMar>
        </w:tblPrEx>
        <w:trPr>
          <w:cantSplit/>
        </w:trPr>
        <w:tc>
          <w:tcPr>
            <w:tcW w:w="2050"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Fasilitas PPN/Pajak Barang dan Jasa (</w:t>
            </w:r>
            <w:r>
              <w:rPr>
                <w:rFonts w:ascii="Arial" w:hAnsi="Arial" w:cs="Arial"/>
                <w:b/>
                <w:bCs/>
                <w:i/>
                <w:iCs/>
                <w:sz w:val="21"/>
                <w:szCs w:val="21"/>
              </w:rPr>
              <w:t>GST</w:t>
            </w:r>
            <w:r>
              <w:rPr>
                <w:rFonts w:ascii="Arial" w:hAnsi="Arial" w:cs="Arial"/>
                <w:b/>
                <w:bCs/>
                <w:sz w:val="21"/>
                <w:szCs w:val="21"/>
              </w:rPr>
              <w:t>):</w:t>
            </w:r>
          </w:p>
        </w:tc>
        <w:tc>
          <w:tcPr>
            <w:tcW w:w="2950" w:type="pct"/>
          </w:tcPr>
          <w:p>
            <w:pPr>
              <w:pStyle w:val="101"/>
              <w:spacing w:after="120"/>
              <w:rPr>
                <w:rFonts w:ascii="Arial" w:hAnsi="Arial" w:cs="Arial"/>
                <w:sz w:val="21"/>
                <w:szCs w:val="21"/>
              </w:rPr>
            </w:pPr>
            <w:r>
              <w:rPr>
                <w:rFonts w:ascii="Arial" w:hAnsi="Arial" w:cs="Arial"/>
                <w:sz w:val="21"/>
                <w:szCs w:val="21"/>
              </w:rPr>
              <w:t>Fasilitas pinjaman [Berjangka / Bergulir].</w:t>
            </w:r>
          </w:p>
        </w:tc>
      </w:tr>
      <w:tr>
        <w:tblPrEx>
          <w:tblCellMar>
            <w:top w:w="0" w:type="dxa"/>
            <w:left w:w="108" w:type="dxa"/>
            <w:bottom w:w="0" w:type="dxa"/>
            <w:right w:w="108" w:type="dxa"/>
          </w:tblCellMar>
        </w:tblPrEx>
        <w:trPr>
          <w:cantSplit/>
        </w:trPr>
        <w:tc>
          <w:tcPr>
            <w:tcW w:w="2050"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Jumlah:</w:t>
            </w:r>
          </w:p>
        </w:tc>
        <w:tc>
          <w:tcPr>
            <w:tcW w:w="2950" w:type="pct"/>
          </w:tcPr>
          <w:p>
            <w:pPr>
              <w:pStyle w:val="101"/>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 mata uang dan jumlah fasilitas</w:t>
            </w:r>
            <w:r>
              <w:rPr>
                <w:rFonts w:ascii="Arial" w:hAnsi="Arial" w:cs="Arial"/>
                <w:sz w:val="21"/>
                <w:szCs w:val="21"/>
              </w:rPr>
              <w:t>].</w:t>
            </w:r>
          </w:p>
        </w:tc>
      </w:tr>
      <w:tr>
        <w:tblPrEx>
          <w:tblCellMar>
            <w:top w:w="0" w:type="dxa"/>
            <w:left w:w="108" w:type="dxa"/>
            <w:bottom w:w="0" w:type="dxa"/>
            <w:right w:w="108" w:type="dxa"/>
          </w:tblCellMar>
        </w:tblPrEx>
        <w:trPr>
          <w:cantSplit/>
        </w:trPr>
        <w:tc>
          <w:tcPr>
            <w:tcW w:w="2050"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Margin:</w:t>
            </w:r>
          </w:p>
        </w:tc>
        <w:tc>
          <w:tcPr>
            <w:tcW w:w="2950" w:type="pct"/>
          </w:tcPr>
          <w:p>
            <w:pPr>
              <w:pStyle w:val="3"/>
              <w:widowControl w:val="0"/>
              <w:spacing w:after="120"/>
              <w:ind w:left="0"/>
              <w:rPr>
                <w:rFonts w:ascii="Arial" w:hAnsi="Arial" w:cs="Arial"/>
                <w:sz w:val="21"/>
                <w:szCs w:val="21"/>
              </w:rPr>
            </w:pPr>
            <w:r>
              <w:rPr>
                <w:rFonts w:ascii="Arial" w:hAnsi="Arial" w:cs="Arial"/>
                <w:sz w:val="21"/>
                <w:szCs w:val="21"/>
              </w:rPr>
              <w:t>[●]% per tahun.</w:t>
            </w:r>
          </w:p>
        </w:tc>
      </w:tr>
      <w:tr>
        <w:tblPrEx>
          <w:tblCellMar>
            <w:top w:w="0" w:type="dxa"/>
            <w:left w:w="108" w:type="dxa"/>
            <w:bottom w:w="0" w:type="dxa"/>
            <w:right w:w="108" w:type="dxa"/>
          </w:tblCellMar>
        </w:tblPrEx>
        <w:trPr>
          <w:cantSplit/>
        </w:trPr>
        <w:tc>
          <w:tcPr>
            <w:tcW w:w="2050"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Suku Bunga:</w:t>
            </w:r>
          </w:p>
        </w:tc>
        <w:tc>
          <w:tcPr>
            <w:tcW w:w="2950" w:type="pct"/>
          </w:tcPr>
          <w:p>
            <w:pPr>
              <w:pStyle w:val="3"/>
              <w:widowControl w:val="0"/>
              <w:spacing w:after="120"/>
              <w:ind w:left="0"/>
              <w:rPr>
                <w:rFonts w:ascii="Arial" w:hAnsi="Arial" w:cs="Arial"/>
                <w:sz w:val="21"/>
                <w:szCs w:val="21"/>
              </w:rPr>
            </w:pPr>
            <w:r>
              <w:rPr>
                <w:rFonts w:ascii="Arial" w:hAnsi="Arial" w:cs="Arial"/>
                <w:sz w:val="21"/>
                <w:szCs w:val="21"/>
                <w:lang w:eastAsia="en-GB"/>
              </w:rPr>
              <w:t>Margin yang berlaku ditambah</w:t>
            </w:r>
            <w:r>
              <w:rPr>
                <w:rFonts w:ascii="Arial" w:hAnsi="Arial" w:cs="Arial"/>
                <w:i/>
                <w:sz w:val="21"/>
                <w:szCs w:val="21"/>
                <w:lang w:eastAsia="en-GB"/>
              </w:rPr>
              <w:t xml:space="preserve"> </w:t>
            </w:r>
            <w:r>
              <w:rPr>
                <w:rFonts w:ascii="Arial" w:hAnsi="Arial" w:cs="Arial"/>
                <w:iCs/>
                <w:sz w:val="21"/>
                <w:szCs w:val="21"/>
                <w:lang w:eastAsia="en-GB"/>
              </w:rPr>
              <w:t>[enam (6)]-bulan</w:t>
            </w:r>
            <w:r>
              <w:rPr>
                <w:rFonts w:ascii="Arial" w:hAnsi="Arial" w:cs="Arial"/>
                <w:sz w:val="21"/>
                <w:szCs w:val="21"/>
                <w:lang w:eastAsia="en-GB"/>
              </w:rPr>
              <w:t xml:space="preserve"> (atau setiap periode lainnya yang disepakati antara Debitur dan Agen </w:t>
            </w:r>
            <w:r>
              <w:rPr>
                <w:rFonts w:ascii="Arial" w:hAnsi="Arial" w:cs="Arial"/>
                <w:sz w:val="21"/>
                <w:szCs w:val="21"/>
                <w:lang w:val="en-US" w:eastAsia="en-GB"/>
              </w:rPr>
              <w:t>Antarkreditur</w:t>
            </w:r>
            <w:r>
              <w:rPr>
                <w:rFonts w:ascii="Arial" w:hAnsi="Arial" w:cs="Arial"/>
                <w:sz w:val="21"/>
                <w:szCs w:val="21"/>
                <w:lang w:eastAsia="en-GB"/>
              </w:rPr>
              <w:t>) [</w:t>
            </w:r>
            <w:r>
              <w:rPr>
                <w:rFonts w:ascii="Arial" w:hAnsi="Arial" w:cs="Arial"/>
                <w:i/>
                <w:iCs/>
                <w:sz w:val="21"/>
                <w:szCs w:val="21"/>
                <w:lang w:eastAsia="en-GB"/>
              </w:rPr>
              <w:t>masukkan tolok ukur yang berlaku</w:t>
            </w:r>
            <w:r>
              <w:rPr>
                <w:rFonts w:ascii="Arial" w:hAnsi="Arial" w:cs="Arial"/>
                <w:sz w:val="21"/>
                <w:szCs w:val="21"/>
                <w:lang w:eastAsia="en-GB"/>
              </w:rPr>
              <w:t>]</w:t>
            </w:r>
            <w:r>
              <w:rPr>
                <w:rStyle w:val="25"/>
                <w:rFonts w:ascii="Arial" w:hAnsi="Arial" w:cs="Arial"/>
                <w:sz w:val="21"/>
                <w:szCs w:val="21"/>
                <w:lang w:eastAsia="en-GB"/>
              </w:rPr>
              <w:footnoteReference w:id="74"/>
            </w:r>
            <w:r>
              <w:rPr>
                <w:rFonts w:ascii="Arial" w:hAnsi="Arial" w:cs="Arial"/>
                <w:sz w:val="21"/>
                <w:szCs w:val="21"/>
                <w:lang w:eastAsia="en-GB"/>
              </w:rPr>
              <w:t xml:space="preserve"> yang dihitung berdasarkan</w:t>
            </w:r>
            <w:r>
              <w:rPr>
                <w:rFonts w:ascii="Arial" w:hAnsi="Arial" w:cs="Arial"/>
                <w:sz w:val="21"/>
                <w:szCs w:val="21"/>
              </w:rPr>
              <w:t xml:space="preserve"> jumlah hari sebenarnya yang telah berlalu pada setiap Periode Bunga dan dalam waktu satu tahun yang terdiri dari [360/365] hari</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50"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Periode Bunga:</w:t>
            </w:r>
          </w:p>
        </w:tc>
        <w:tc>
          <w:tcPr>
            <w:tcW w:w="2950" w:type="pct"/>
          </w:tcPr>
          <w:p>
            <w:pPr>
              <w:pStyle w:val="3"/>
              <w:widowControl w:val="0"/>
              <w:spacing w:after="120"/>
              <w:ind w:left="0"/>
              <w:rPr>
                <w:rFonts w:ascii="Arial" w:hAnsi="Arial" w:cs="Arial"/>
                <w:sz w:val="21"/>
                <w:szCs w:val="21"/>
              </w:rPr>
            </w:pPr>
            <w:r>
              <w:rPr>
                <w:rFonts w:ascii="Arial" w:hAnsi="Arial" w:cs="Arial"/>
                <w:sz w:val="21"/>
                <w:szCs w:val="21"/>
              </w:rPr>
              <w:t xml:space="preserve">[Enam (6)] Bulan atau setiap periode lainnya yang disepakati antara Debitur dan Agen </w:t>
            </w:r>
            <w:r>
              <w:rPr>
                <w:rFonts w:ascii="Arial" w:hAnsi="Arial" w:cs="Arial"/>
                <w:sz w:val="21"/>
                <w:szCs w:val="21"/>
                <w:lang w:val="en-US"/>
              </w:rPr>
              <w:t>Antarkreditur</w:t>
            </w:r>
            <w:r>
              <w:rPr>
                <w:rFonts w:ascii="Arial" w:hAnsi="Arial" w:cs="Arial"/>
                <w:sz w:val="21"/>
                <w:szCs w:val="21"/>
              </w:rPr>
              <w:t>.</w:t>
            </w:r>
          </w:p>
        </w:tc>
      </w:tr>
      <w:tr>
        <w:tblPrEx>
          <w:tblCellMar>
            <w:top w:w="0" w:type="dxa"/>
            <w:left w:w="108" w:type="dxa"/>
            <w:bottom w:w="0" w:type="dxa"/>
            <w:right w:w="108" w:type="dxa"/>
          </w:tblCellMar>
        </w:tblPrEx>
        <w:trPr>
          <w:cantSplit/>
        </w:trPr>
        <w:tc>
          <w:tcPr>
            <w:tcW w:w="2050"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Biaya-biaya:</w:t>
            </w:r>
          </w:p>
        </w:tc>
        <w:tc>
          <w:tcPr>
            <w:tcW w:w="2950" w:type="pct"/>
          </w:tcPr>
          <w:p>
            <w:pPr>
              <w:pStyle w:val="101"/>
              <w:keepNext/>
              <w:spacing w:after="120"/>
              <w:rPr>
                <w:rFonts w:ascii="Arial" w:hAnsi="Arial" w:cs="Arial"/>
                <w:i/>
                <w:iCs/>
                <w:sz w:val="21"/>
                <w:szCs w:val="21"/>
                <w:lang w:eastAsia="en-GB"/>
              </w:rPr>
            </w:pPr>
            <w:r>
              <w:rPr>
                <w:rFonts w:ascii="Arial" w:hAnsi="Arial" w:cs="Arial"/>
                <w:i/>
                <w:iCs/>
                <w:sz w:val="21"/>
                <w:szCs w:val="21"/>
                <w:lang w:eastAsia="en-GB"/>
              </w:rPr>
              <w:t>Biaya Komitmen:</w:t>
            </w:r>
          </w:p>
        </w:tc>
      </w:tr>
      <w:tr>
        <w:tblPrEx>
          <w:tblCellMar>
            <w:top w:w="0" w:type="dxa"/>
            <w:left w:w="108" w:type="dxa"/>
            <w:bottom w:w="0" w:type="dxa"/>
            <w:right w:w="108" w:type="dxa"/>
          </w:tblCellMar>
        </w:tblPrEx>
        <w:trPr>
          <w:cantSplit/>
        </w:trPr>
        <w:tc>
          <w:tcPr>
            <w:tcW w:w="2050" w:type="pct"/>
          </w:tcPr>
          <w:p>
            <w:pPr>
              <w:pStyle w:val="101"/>
              <w:keepNext/>
              <w:spacing w:after="120"/>
              <w:rPr>
                <w:rFonts w:ascii="Arial" w:hAnsi="Arial" w:cs="Arial"/>
                <w:i/>
                <w:iCs/>
                <w:sz w:val="21"/>
                <w:szCs w:val="21"/>
                <w:lang w:eastAsia="en-GB"/>
              </w:rPr>
            </w:pPr>
          </w:p>
        </w:tc>
        <w:tc>
          <w:tcPr>
            <w:tcW w:w="2950" w:type="pct"/>
          </w:tcPr>
          <w:p>
            <w:pPr>
              <w:pStyle w:val="99"/>
              <w:tabs>
                <w:tab w:val="clear" w:pos="720"/>
              </w:tabs>
              <w:spacing w:after="120"/>
              <w:rPr>
                <w:rFonts w:ascii="Arial" w:hAnsi="Arial" w:cs="Arial"/>
                <w:sz w:val="21"/>
                <w:szCs w:val="21"/>
                <w:lang w:eastAsia="en-GB"/>
              </w:rPr>
            </w:pPr>
            <w:r>
              <w:rPr>
                <w:rFonts w:ascii="Arial" w:hAnsi="Arial" w:cs="Arial"/>
                <w:sz w:val="21"/>
                <w:szCs w:val="21"/>
                <w:lang w:eastAsia="en-GB"/>
              </w:rPr>
              <w:t xml:space="preserve">[●]% </w:t>
            </w:r>
            <w:r>
              <w:rPr>
                <w:rFonts w:ascii="Arial" w:hAnsi="Arial" w:cs="Arial"/>
                <w:sz w:val="21"/>
                <w:szCs w:val="21"/>
              </w:rPr>
              <w:t>per tahun berdasarkan bagian dari jumlah fasilitas yang belum ditarik dan belum dibatalkan</w:t>
            </w:r>
            <w:r>
              <w:rPr>
                <w:rFonts w:ascii="Arial" w:hAnsi="Arial" w:cs="Arial"/>
                <w:sz w:val="21"/>
                <w:szCs w:val="21"/>
                <w:lang w:eastAsia="en-GB"/>
              </w:rPr>
              <w:t>.</w:t>
            </w:r>
          </w:p>
        </w:tc>
      </w:tr>
      <w:tr>
        <w:tblPrEx>
          <w:tblCellMar>
            <w:top w:w="0" w:type="dxa"/>
            <w:left w:w="108" w:type="dxa"/>
            <w:bottom w:w="0" w:type="dxa"/>
            <w:right w:w="108" w:type="dxa"/>
          </w:tblCellMar>
        </w:tblPrEx>
        <w:trPr>
          <w:cantSplit/>
        </w:trPr>
        <w:tc>
          <w:tcPr>
            <w:tcW w:w="2050" w:type="pct"/>
          </w:tcPr>
          <w:p>
            <w:pPr>
              <w:pStyle w:val="101"/>
              <w:keepNext/>
              <w:spacing w:after="120"/>
              <w:rPr>
                <w:rFonts w:ascii="Arial" w:hAnsi="Arial" w:cs="Arial"/>
                <w:i/>
                <w:iCs/>
                <w:sz w:val="21"/>
                <w:szCs w:val="21"/>
                <w:lang w:eastAsia="en-GB"/>
              </w:rPr>
            </w:pPr>
          </w:p>
        </w:tc>
        <w:tc>
          <w:tcPr>
            <w:tcW w:w="2950" w:type="pct"/>
          </w:tcPr>
          <w:p>
            <w:pPr>
              <w:pStyle w:val="99"/>
              <w:numPr>
                <w:ilvl w:val="4"/>
                <w:numId w:val="25"/>
              </w:numPr>
              <w:tabs>
                <w:tab w:val="clear" w:pos="720"/>
              </w:tabs>
              <w:spacing w:after="120"/>
              <w:rPr>
                <w:rFonts w:ascii="Arial" w:hAnsi="Arial" w:cs="Arial"/>
                <w:bCs/>
                <w:sz w:val="21"/>
                <w:szCs w:val="21"/>
                <w:lang w:eastAsia="en-GB"/>
              </w:rPr>
            </w:pPr>
            <w:r>
              <w:rPr>
                <w:rFonts w:ascii="Arial" w:hAnsi="Arial" w:cs="Arial"/>
                <w:sz w:val="21"/>
                <w:szCs w:val="21"/>
                <w:lang w:eastAsia="en-GB"/>
              </w:rPr>
              <w:t>Biaya-biaya Komitmen akan bertambah pada dan sejak [</w:t>
            </w:r>
            <w:r>
              <w:rPr>
                <w:rFonts w:ascii="Arial" w:hAnsi="Arial" w:cs="Arial"/>
                <w:i/>
                <w:iCs/>
                <w:sz w:val="21"/>
                <w:szCs w:val="21"/>
                <w:lang w:eastAsia="en-GB"/>
              </w:rPr>
              <w:t>awal Periode Ketersediaan Fasilitas PPN/</w:t>
            </w:r>
            <w:r>
              <w:rPr>
                <w:rFonts w:ascii="Arial" w:hAnsi="Arial" w:cs="Arial"/>
                <w:sz w:val="16"/>
                <w:szCs w:val="16"/>
              </w:rPr>
              <w:t xml:space="preserve"> </w:t>
            </w:r>
            <w:r>
              <w:rPr>
                <w:rFonts w:ascii="Arial" w:hAnsi="Arial" w:cs="Arial"/>
                <w:i/>
                <w:iCs/>
                <w:sz w:val="21"/>
                <w:szCs w:val="21"/>
                <w:lang w:eastAsia="en-GB"/>
              </w:rPr>
              <w:t>Pajak Barang dan Jasa (GST)</w:t>
            </w:r>
            <w:r>
              <w:rPr>
                <w:rFonts w:ascii="Arial" w:hAnsi="Arial" w:cs="Arial"/>
                <w:sz w:val="21"/>
                <w:szCs w:val="21"/>
                <w:lang w:eastAsia="en-GB"/>
              </w:rPr>
              <w:t xml:space="preserve">] </w:t>
            </w:r>
            <w:r>
              <w:rPr>
                <w:rFonts w:ascii="Arial" w:hAnsi="Arial" w:cs="Arial"/>
                <w:bCs/>
                <w:sz w:val="21"/>
                <w:szCs w:val="21"/>
                <w:lang w:eastAsia="en-GB"/>
              </w:rPr>
              <w:t>sampai dengan hari terakhir Periode Ketersediaan Fasilitas PPN/</w:t>
            </w:r>
            <w:r>
              <w:rPr>
                <w:rFonts w:ascii="Arial" w:hAnsi="Arial" w:cs="Arial"/>
                <w:sz w:val="16"/>
                <w:szCs w:val="16"/>
              </w:rPr>
              <w:t xml:space="preserve"> </w:t>
            </w:r>
            <w:r>
              <w:rPr>
                <w:rFonts w:ascii="Arial" w:hAnsi="Arial" w:cs="Arial"/>
                <w:bCs/>
                <w:sz w:val="21"/>
                <w:szCs w:val="21"/>
                <w:lang w:eastAsia="en-GB"/>
              </w:rPr>
              <w:t>Pajak Barang dan Jasa (</w:t>
            </w:r>
            <w:r>
              <w:rPr>
                <w:rFonts w:ascii="Arial" w:hAnsi="Arial" w:cs="Arial"/>
                <w:bCs/>
                <w:i/>
                <w:iCs/>
                <w:sz w:val="21"/>
                <w:szCs w:val="21"/>
                <w:lang w:eastAsia="en-GB"/>
              </w:rPr>
              <w:t>GST</w:t>
            </w:r>
            <w:r>
              <w:rPr>
                <w:rFonts w:ascii="Arial" w:hAnsi="Arial" w:cs="Arial"/>
                <w:bCs/>
                <w:sz w:val="21"/>
                <w:szCs w:val="21"/>
                <w:lang w:eastAsia="en-GB"/>
              </w:rPr>
              <w:t xml:space="preserve">) dan harus dibayar pada setiap Tanggal Pembayaran Bunga, </w:t>
            </w:r>
            <w:r>
              <w:rPr>
                <w:rFonts w:ascii="Arial" w:hAnsi="Arial" w:cs="Arial"/>
                <w:sz w:val="21"/>
                <w:szCs w:val="21"/>
              </w:rPr>
              <w:t xml:space="preserve">pada hari terakhir </w:t>
            </w:r>
            <w:r>
              <w:rPr>
                <w:rFonts w:ascii="Arial" w:hAnsi="Arial" w:cs="Arial"/>
                <w:bCs/>
                <w:sz w:val="21"/>
                <w:szCs w:val="21"/>
                <w:lang w:eastAsia="en-GB"/>
              </w:rPr>
              <w:t>Periode Ketersediaan Fasilitas PPN/</w:t>
            </w:r>
            <w:r>
              <w:rPr>
                <w:rFonts w:ascii="Arial" w:hAnsi="Arial" w:cs="Arial"/>
                <w:sz w:val="16"/>
                <w:szCs w:val="16"/>
              </w:rPr>
              <w:t xml:space="preserve"> </w:t>
            </w:r>
            <w:r>
              <w:rPr>
                <w:rFonts w:ascii="Arial" w:hAnsi="Arial" w:cs="Arial"/>
                <w:bCs/>
                <w:sz w:val="21"/>
                <w:szCs w:val="21"/>
                <w:lang w:eastAsia="en-GB"/>
              </w:rPr>
              <w:t>Pajak Barang dan Jasa (</w:t>
            </w:r>
            <w:r>
              <w:rPr>
                <w:rFonts w:ascii="Arial" w:hAnsi="Arial" w:cs="Arial"/>
                <w:bCs/>
                <w:i/>
                <w:iCs/>
                <w:sz w:val="21"/>
                <w:szCs w:val="21"/>
                <w:lang w:eastAsia="en-GB"/>
              </w:rPr>
              <w:t>GST</w:t>
            </w:r>
            <w:r>
              <w:rPr>
                <w:rFonts w:ascii="Arial" w:hAnsi="Arial" w:cs="Arial"/>
                <w:bCs/>
                <w:sz w:val="21"/>
                <w:szCs w:val="21"/>
                <w:lang w:eastAsia="en-GB"/>
              </w:rPr>
              <w:t>)</w:t>
            </w:r>
            <w:r>
              <w:rPr>
                <w:rFonts w:ascii="Arial" w:hAnsi="Arial" w:cs="Arial"/>
                <w:sz w:val="21"/>
                <w:szCs w:val="21"/>
              </w:rPr>
              <w:t xml:space="preserve"> dan berdasarkan jumlah yang dibatalkan atas </w:t>
            </w:r>
            <w:r>
              <w:rPr>
                <w:rFonts w:ascii="Arial" w:hAnsi="Arial" w:cs="Arial"/>
                <w:bCs/>
                <w:sz w:val="21"/>
                <w:szCs w:val="21"/>
                <w:lang w:eastAsia="en-GB"/>
              </w:rPr>
              <w:t>Fasilitas PPN/Pajak Barang dan Jasa (</w:t>
            </w:r>
            <w:r>
              <w:rPr>
                <w:rFonts w:ascii="Arial" w:hAnsi="Arial" w:cs="Arial"/>
                <w:bCs/>
                <w:i/>
                <w:iCs/>
                <w:sz w:val="21"/>
                <w:szCs w:val="21"/>
                <w:lang w:eastAsia="en-GB"/>
              </w:rPr>
              <w:t>GST</w:t>
            </w:r>
            <w:r>
              <w:rPr>
                <w:rFonts w:ascii="Arial" w:hAnsi="Arial" w:cs="Arial"/>
                <w:bCs/>
                <w:sz w:val="21"/>
                <w:szCs w:val="21"/>
                <w:lang w:eastAsia="en-GB"/>
              </w:rPr>
              <w:t>)</w:t>
            </w:r>
            <w:r>
              <w:rPr>
                <w:rFonts w:ascii="Arial" w:hAnsi="Arial" w:cs="Arial"/>
                <w:sz w:val="21"/>
                <w:szCs w:val="21"/>
              </w:rPr>
              <w:t xml:space="preserve"> pada saat berlakunya pembatalan secara penuh,</w:t>
            </w:r>
            <w:r>
              <w:rPr>
                <w:rFonts w:ascii="Arial" w:hAnsi="Arial" w:cs="Arial"/>
                <w:bCs/>
                <w:sz w:val="21"/>
                <w:szCs w:val="21"/>
                <w:lang w:eastAsia="en-GB"/>
              </w:rPr>
              <w:t xml:space="preserve"> di belakang.</w:t>
            </w:r>
          </w:p>
        </w:tc>
      </w:tr>
      <w:tr>
        <w:tblPrEx>
          <w:tblCellMar>
            <w:top w:w="0" w:type="dxa"/>
            <w:left w:w="108" w:type="dxa"/>
            <w:bottom w:w="0" w:type="dxa"/>
            <w:right w:w="108" w:type="dxa"/>
          </w:tblCellMar>
        </w:tblPrEx>
        <w:trPr>
          <w:cantSplit/>
        </w:trPr>
        <w:tc>
          <w:tcPr>
            <w:tcW w:w="2050" w:type="pct"/>
          </w:tcPr>
          <w:p>
            <w:pPr>
              <w:pStyle w:val="101"/>
              <w:keepNext/>
              <w:spacing w:after="120"/>
              <w:rPr>
                <w:rFonts w:ascii="Arial" w:hAnsi="Arial" w:cs="Arial"/>
                <w:i/>
                <w:iCs/>
                <w:sz w:val="21"/>
                <w:szCs w:val="21"/>
                <w:lang w:eastAsia="en-GB"/>
              </w:rPr>
            </w:pPr>
          </w:p>
        </w:tc>
        <w:tc>
          <w:tcPr>
            <w:tcW w:w="2950" w:type="pct"/>
          </w:tcPr>
          <w:p>
            <w:pPr>
              <w:pStyle w:val="101"/>
              <w:keepNext/>
              <w:spacing w:after="120"/>
              <w:rPr>
                <w:rFonts w:ascii="Arial" w:hAnsi="Arial" w:cs="Arial"/>
                <w:i/>
                <w:iCs/>
                <w:sz w:val="21"/>
                <w:szCs w:val="21"/>
                <w:lang w:eastAsia="en-GB"/>
              </w:rPr>
            </w:pPr>
            <w:r>
              <w:rPr>
                <w:rFonts w:ascii="Arial" w:hAnsi="Arial" w:cs="Arial"/>
                <w:sz w:val="21"/>
                <w:szCs w:val="21"/>
              </w:rPr>
              <w:t>[</w:t>
            </w:r>
            <w:r>
              <w:rPr>
                <w:rFonts w:ascii="Arial" w:hAnsi="Arial" w:cs="Arial"/>
                <w:i/>
                <w:iCs/>
                <w:sz w:val="21"/>
                <w:szCs w:val="21"/>
              </w:rPr>
              <w:t>Biaya-biaya lain akan dimasukkan, antara lain biaya-biaya keagenan</w:t>
            </w:r>
            <w:r>
              <w:rPr>
                <w:rFonts w:ascii="Arial" w:hAnsi="Arial" w:cs="Arial"/>
                <w:sz w:val="21"/>
                <w:szCs w:val="21"/>
              </w:rPr>
              <w:t>]</w:t>
            </w:r>
          </w:p>
        </w:tc>
      </w:tr>
      <w:tr>
        <w:tblPrEx>
          <w:tblCellMar>
            <w:top w:w="0" w:type="dxa"/>
            <w:left w:w="108" w:type="dxa"/>
            <w:bottom w:w="0" w:type="dxa"/>
            <w:right w:w="108" w:type="dxa"/>
          </w:tblCellMar>
        </w:tblPrEx>
        <w:trPr>
          <w:cantSplit/>
        </w:trPr>
        <w:tc>
          <w:tcPr>
            <w:tcW w:w="2050"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Periode Ketersediaan:</w:t>
            </w:r>
          </w:p>
        </w:tc>
        <w:tc>
          <w:tcPr>
            <w:tcW w:w="2950" w:type="pct"/>
          </w:tcPr>
          <w:p>
            <w:pPr>
              <w:pStyle w:val="3"/>
              <w:widowControl w:val="0"/>
              <w:spacing w:after="120"/>
              <w:ind w:left="0"/>
              <w:rPr>
                <w:rFonts w:ascii="Arial" w:hAnsi="Arial" w:cs="Arial"/>
                <w:sz w:val="21"/>
                <w:szCs w:val="21"/>
              </w:rPr>
            </w:pPr>
            <w:r>
              <w:rPr>
                <w:rFonts w:ascii="Arial" w:hAnsi="Arial" w:cs="Arial"/>
                <w:sz w:val="21"/>
                <w:szCs w:val="21"/>
              </w:rPr>
              <w:t>Sejak [</w:t>
            </w:r>
            <w:r>
              <w:rPr>
                <w:rFonts w:ascii="Arial" w:hAnsi="Arial" w:cs="Arial"/>
                <w:sz w:val="21"/>
                <w:szCs w:val="21"/>
                <w:lang w:eastAsia="en-GB"/>
              </w:rPr>
              <w:t>Pemenuhan Pembiayaan</w:t>
            </w:r>
            <w:r>
              <w:rPr>
                <w:rFonts w:ascii="Arial" w:hAnsi="Arial" w:cs="Arial"/>
                <w:sz w:val="21"/>
                <w:szCs w:val="21"/>
              </w:rPr>
              <w:t>] sampai dengan [</w:t>
            </w:r>
            <w:r>
              <w:rPr>
                <w:rFonts w:ascii="Arial" w:hAnsi="Arial" w:cs="Arial"/>
                <w:sz w:val="21"/>
                <w:szCs w:val="21"/>
                <w:lang w:eastAsia="en-GB"/>
              </w:rPr>
              <w:t>Tanggal</w:t>
            </w:r>
            <w:r>
              <w:rPr>
                <w:rFonts w:ascii="Arial" w:hAnsi="Arial" w:cs="Arial"/>
                <w:i/>
                <w:sz w:val="21"/>
                <w:szCs w:val="21"/>
                <w:lang w:eastAsia="en-GB"/>
              </w:rPr>
              <w:t xml:space="preserve"> Longstop</w:t>
            </w:r>
            <w:r>
              <w:rPr>
                <w:rFonts w:ascii="Arial" w:hAnsi="Arial" w:cs="Arial"/>
                <w:sz w:val="21"/>
                <w:szCs w:val="21"/>
                <w:lang w:eastAsia="en-GB"/>
              </w:rPr>
              <w:t>] / [Tanggal Penyelesaian Proyek][Tanggal Penyelesaian Finansial].</w:t>
            </w:r>
          </w:p>
        </w:tc>
      </w:tr>
      <w:tr>
        <w:tblPrEx>
          <w:tblCellMar>
            <w:top w:w="0" w:type="dxa"/>
            <w:left w:w="108" w:type="dxa"/>
            <w:bottom w:w="0" w:type="dxa"/>
            <w:right w:w="108" w:type="dxa"/>
          </w:tblCellMar>
        </w:tblPrEx>
        <w:trPr>
          <w:cantSplit/>
        </w:trPr>
        <w:tc>
          <w:tcPr>
            <w:tcW w:w="2050"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Jumlah Minimal Setiap Penggunaan:</w:t>
            </w:r>
          </w:p>
        </w:tc>
        <w:tc>
          <w:tcPr>
            <w:tcW w:w="2950" w:type="pct"/>
          </w:tcPr>
          <w:p>
            <w:pPr>
              <w:pStyle w:val="3"/>
              <w:widowControl w:val="0"/>
              <w:spacing w:after="120"/>
              <w:ind w:left="0"/>
              <w:rPr>
                <w:rFonts w:ascii="Arial" w:hAnsi="Arial" w:cs="Arial"/>
                <w:sz w:val="21"/>
                <w:szCs w:val="21"/>
              </w:rPr>
            </w:pPr>
            <w:r>
              <w:rPr>
                <w:rFonts w:ascii="Arial" w:hAnsi="Arial" w:cs="Arial"/>
                <w:sz w:val="21"/>
                <w:szCs w:val="21"/>
              </w:rPr>
              <w:t>Setiap Penggunaan harus dalam jumlah minimal sebesar [</w:t>
            </w:r>
            <w:r>
              <w:rPr>
                <w:rFonts w:ascii="Arial" w:hAnsi="Arial" w:cs="Arial"/>
                <w:i/>
                <w:sz w:val="21"/>
                <w:szCs w:val="21"/>
              </w:rPr>
              <w:t>masukkan jumlah</w:t>
            </w:r>
            <w:r>
              <w:rPr>
                <w:rFonts w:ascii="Arial" w:hAnsi="Arial" w:cs="Arial"/>
                <w:sz w:val="21"/>
                <w:szCs w:val="21"/>
              </w:rPr>
              <w:t>].</w:t>
            </w:r>
          </w:p>
        </w:tc>
      </w:tr>
      <w:tr>
        <w:tblPrEx>
          <w:tblCellMar>
            <w:top w:w="0" w:type="dxa"/>
            <w:left w:w="108" w:type="dxa"/>
            <w:bottom w:w="0" w:type="dxa"/>
            <w:right w:w="108" w:type="dxa"/>
          </w:tblCellMar>
        </w:tblPrEx>
        <w:trPr>
          <w:cantSplit/>
        </w:trPr>
        <w:tc>
          <w:tcPr>
            <w:tcW w:w="2050"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Jumlah maksimal penggunaan-penggunaan:</w:t>
            </w:r>
          </w:p>
        </w:tc>
        <w:tc>
          <w:tcPr>
            <w:tcW w:w="2950" w:type="pct"/>
          </w:tcPr>
          <w:p>
            <w:pPr>
              <w:pStyle w:val="3"/>
              <w:widowControl w:val="0"/>
              <w:spacing w:after="120"/>
              <w:ind w:left="0"/>
              <w:rPr>
                <w:rFonts w:ascii="Arial" w:hAnsi="Arial" w:cs="Arial"/>
                <w:sz w:val="21"/>
                <w:szCs w:val="21"/>
              </w:rPr>
            </w:pPr>
            <w:r>
              <w:rPr>
                <w:rFonts w:ascii="Arial" w:hAnsi="Arial" w:cs="Arial"/>
                <w:sz w:val="21"/>
                <w:szCs w:val="21"/>
              </w:rPr>
              <w:t>Penggunaan-(penggunaan) dapat dimohonkan tidak lebih dari [●] kali.</w:t>
            </w:r>
          </w:p>
        </w:tc>
      </w:tr>
      <w:tr>
        <w:tblPrEx>
          <w:tblCellMar>
            <w:top w:w="0" w:type="dxa"/>
            <w:left w:w="108" w:type="dxa"/>
            <w:bottom w:w="0" w:type="dxa"/>
            <w:right w:w="108" w:type="dxa"/>
          </w:tblCellMar>
        </w:tblPrEx>
        <w:trPr>
          <w:cantSplit/>
        </w:trPr>
        <w:tc>
          <w:tcPr>
            <w:tcW w:w="2050" w:type="pct"/>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Tujuan</w:t>
            </w:r>
          </w:p>
        </w:tc>
        <w:tc>
          <w:tcPr>
            <w:tcW w:w="2950" w:type="pct"/>
          </w:tcPr>
          <w:p>
            <w:pPr>
              <w:pStyle w:val="3"/>
              <w:widowControl w:val="0"/>
              <w:spacing w:after="120"/>
              <w:ind w:left="0"/>
              <w:rPr>
                <w:rFonts w:ascii="Arial" w:hAnsi="Arial" w:cs="Arial"/>
                <w:sz w:val="21"/>
                <w:szCs w:val="21"/>
              </w:rPr>
            </w:pPr>
            <w:r>
              <w:rPr>
                <w:rFonts w:ascii="Arial" w:hAnsi="Arial" w:cs="Arial"/>
                <w:sz w:val="21"/>
                <w:szCs w:val="21"/>
              </w:rPr>
              <w:t>Untuk mendanai pajak pertambahan nilai/pajak barang dan jasa atas pembayaran-pembayaran yang wajib dilakukan sehubungan dengan Biaya-biaya Proyek selama Periode Konstruksi sampai pembayaran-pembayaran pajak tersebut diganti oleh instansi-instansi pajak.]</w:t>
            </w:r>
          </w:p>
        </w:tc>
      </w:tr>
    </w:tbl>
    <w:p>
      <w:pPr>
        <w:pStyle w:val="105"/>
        <w:spacing w:after="120"/>
        <w:rPr>
          <w:rFonts w:ascii="Arial" w:hAnsi="Arial" w:cs="Arial"/>
          <w:b w:val="0"/>
          <w:sz w:val="21"/>
          <w:szCs w:val="21"/>
        </w:rPr>
      </w:pPr>
      <w:bookmarkStart w:id="85" w:name="_Toc74860679"/>
      <w:bookmarkStart w:id="86" w:name="_Toc74557533"/>
      <w:r>
        <w:rPr>
          <w:rFonts w:ascii="Arial" w:hAnsi="Arial" w:cs="Arial"/>
          <w:sz w:val="21"/>
          <w:szCs w:val="21"/>
        </w:rPr>
        <w:t>PEMBAYARAN KEMBALI</w:t>
      </w:r>
      <w:r>
        <w:rPr>
          <w:rStyle w:val="25"/>
          <w:rFonts w:ascii="Arial" w:hAnsi="Arial" w:cs="Arial"/>
          <w:b w:val="0"/>
          <w:sz w:val="21"/>
          <w:szCs w:val="21"/>
        </w:rPr>
        <w:footnoteReference w:id="75"/>
      </w:r>
      <w:bookmarkEnd w:id="85"/>
      <w:bookmarkEnd w:id="86"/>
    </w:p>
    <w:tbl>
      <w:tblPr>
        <w:tblStyle w:val="17"/>
        <w:tblW w:w="5000" w:type="pct"/>
        <w:tblInd w:w="-90" w:type="dxa"/>
        <w:tblLayout w:type="autofit"/>
        <w:tblCellMar>
          <w:top w:w="0" w:type="dxa"/>
          <w:left w:w="108" w:type="dxa"/>
          <w:bottom w:w="0" w:type="dxa"/>
          <w:right w:w="108" w:type="dxa"/>
        </w:tblCellMar>
      </w:tblPr>
      <w:tblGrid>
        <w:gridCol w:w="3575"/>
        <w:gridCol w:w="5308"/>
      </w:tblGrid>
      <w:tr>
        <w:tblPrEx>
          <w:tblCellMar>
            <w:top w:w="0" w:type="dxa"/>
            <w:left w:w="108" w:type="dxa"/>
            <w:bottom w:w="0" w:type="dxa"/>
            <w:right w:w="108" w:type="dxa"/>
          </w:tblCellMar>
        </w:tblPrEx>
        <w:trPr>
          <w:cantSplit/>
        </w:trPr>
        <w:tc>
          <w:tcPr>
            <w:tcW w:w="2012"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Tanggal Jatuh Tempo Akhir:</w:t>
            </w:r>
          </w:p>
        </w:tc>
        <w:tc>
          <w:tcPr>
            <w:tcW w:w="2988" w:type="pct"/>
          </w:tcPr>
          <w:p>
            <w:pPr>
              <w:pStyle w:val="3"/>
              <w:widowControl w:val="0"/>
              <w:spacing w:after="120"/>
              <w:ind w:left="79"/>
              <w:rPr>
                <w:rFonts w:ascii="Arial" w:hAnsi="Arial" w:cs="Arial"/>
                <w:sz w:val="21"/>
                <w:szCs w:val="21"/>
              </w:rPr>
            </w:pPr>
            <w:r>
              <w:rPr>
                <w:rFonts w:ascii="Arial" w:hAnsi="Arial" w:cs="Arial"/>
                <w:sz w:val="21"/>
                <w:szCs w:val="21"/>
              </w:rPr>
              <w:t>[                    ].</w:t>
            </w:r>
          </w:p>
        </w:tc>
      </w:tr>
      <w:tr>
        <w:tblPrEx>
          <w:tblCellMar>
            <w:top w:w="0" w:type="dxa"/>
            <w:left w:w="108" w:type="dxa"/>
            <w:bottom w:w="0" w:type="dxa"/>
            <w:right w:w="108" w:type="dxa"/>
          </w:tblCellMar>
        </w:tblPrEx>
        <w:tc>
          <w:tcPr>
            <w:tcW w:w="2012" w:type="pct"/>
          </w:tcPr>
          <w:p>
            <w:pPr>
              <w:pStyle w:val="103"/>
              <w:tabs>
                <w:tab w:val="clear" w:pos="766"/>
              </w:tabs>
              <w:spacing w:after="120"/>
              <w:ind w:left="720" w:hanging="720"/>
              <w:rPr>
                <w:rFonts w:ascii="Arial" w:hAnsi="Arial" w:cs="Arial"/>
                <w:b/>
                <w:sz w:val="21"/>
                <w:szCs w:val="21"/>
              </w:rPr>
            </w:pPr>
            <w:r>
              <w:rPr>
                <w:rFonts w:ascii="Arial" w:hAnsi="Arial" w:cs="Arial"/>
                <w:b/>
                <w:sz w:val="21"/>
                <w:szCs w:val="21"/>
              </w:rPr>
              <w:t>Pembayaran Fasilitas Pinjaman Berjangka A:</w:t>
            </w:r>
          </w:p>
        </w:tc>
        <w:tc>
          <w:tcPr>
            <w:tcW w:w="2988" w:type="pct"/>
          </w:tcPr>
          <w:tbl>
            <w:tblPr>
              <w:tblStyle w:val="17"/>
              <w:tblW w:w="5000" w:type="pct"/>
              <w:tblInd w:w="0" w:type="dxa"/>
              <w:tblLayout w:type="autofit"/>
              <w:tblCellMar>
                <w:top w:w="0" w:type="dxa"/>
                <w:left w:w="108" w:type="dxa"/>
                <w:bottom w:w="0" w:type="dxa"/>
                <w:right w:w="108" w:type="dxa"/>
              </w:tblCellMar>
            </w:tblPr>
            <w:tblGrid>
              <w:gridCol w:w="1879"/>
              <w:gridCol w:w="3213"/>
            </w:tblGrid>
            <w:tr>
              <w:trPr>
                <w:cantSplit/>
                <w:trHeight w:val="504" w:hRule="atLeast"/>
              </w:trPr>
              <w:tc>
                <w:tcPr>
                  <w:tcW w:w="3071" w:type="pct"/>
                  <w:gridSpan w:val="2"/>
                  <w:vMerge w:val="restart"/>
                </w:tcPr>
                <w:p>
                  <w:pPr>
                    <w:pStyle w:val="3"/>
                    <w:widowControl w:val="0"/>
                    <w:spacing w:after="120"/>
                    <w:ind w:left="79"/>
                    <w:rPr>
                      <w:rFonts w:ascii="Arial" w:hAnsi="Arial" w:cs="Arial"/>
                      <w:sz w:val="21"/>
                      <w:szCs w:val="21"/>
                    </w:rPr>
                  </w:pPr>
                  <w:r>
                    <w:rPr>
                      <w:rFonts w:ascii="Arial" w:hAnsi="Arial" w:cs="Arial"/>
                      <w:sz w:val="21"/>
                      <w:szCs w:val="21"/>
                    </w:rPr>
                    <w:t>[Pinjaman-pinjaman akan dibayar kembali [melalui tahapan-tahapan [secara semi-tahunan] pada tanggal-tanggal dan dalam jumlah-jumlah yang ditentukan dalam Lampiran Daftar Ketentuan ini] / [dengan tahapan-tahapan sebagai berikut:</w:t>
                  </w:r>
                </w:p>
              </w:tc>
            </w:tr>
            <w:tr>
              <w:tblPrEx>
                <w:tblCellMar>
                  <w:top w:w="0" w:type="dxa"/>
                  <w:left w:w="108" w:type="dxa"/>
                  <w:bottom w:w="0" w:type="dxa"/>
                  <w:right w:w="108" w:type="dxa"/>
                </w:tblCellMar>
              </w:tblPrEx>
              <w:trPr>
                <w:cantSplit/>
                <w:trHeight w:val="504" w:hRule="atLeast"/>
              </w:trPr>
              <w:tc>
                <w:tcPr>
                  <w:tcW w:w="0" w:type="auto"/>
                  <w:gridSpan w:val="2"/>
                  <w:vMerge w:val="continue"/>
                  <w:vAlign w:val="center"/>
                </w:tcPr>
                <w:p>
                  <w:pPr>
                    <w:spacing w:after="120"/>
                    <w:jc w:val="left"/>
                    <w:rPr>
                      <w:rFonts w:ascii="Arial" w:hAnsi="Arial" w:cs="Arial"/>
                      <w:sz w:val="21"/>
                      <w:szCs w:val="21"/>
                    </w:rPr>
                  </w:pPr>
                </w:p>
              </w:tc>
            </w:tr>
            <w:tr>
              <w:tblPrEx>
                <w:tblCellMar>
                  <w:top w:w="0" w:type="dxa"/>
                  <w:left w:w="108" w:type="dxa"/>
                  <w:bottom w:w="0" w:type="dxa"/>
                  <w:right w:w="108" w:type="dxa"/>
                </w:tblCellMar>
              </w:tblPrEx>
              <w:trPr>
                <w:cantSplit/>
                <w:trHeight w:val="481" w:hRule="atLeast"/>
              </w:trPr>
              <w:tc>
                <w:tcPr>
                  <w:tcW w:w="0" w:type="auto"/>
                  <w:gridSpan w:val="2"/>
                  <w:vMerge w:val="continue"/>
                  <w:vAlign w:val="center"/>
                </w:tcPr>
                <w:p>
                  <w:pPr>
                    <w:spacing w:after="120"/>
                    <w:jc w:val="left"/>
                    <w:rPr>
                      <w:rFonts w:ascii="Arial" w:hAnsi="Arial" w:cs="Arial"/>
                      <w:sz w:val="21"/>
                      <w:szCs w:val="21"/>
                    </w:rPr>
                  </w:pPr>
                </w:p>
              </w:tc>
            </w:tr>
            <w:tr>
              <w:tblPrEx>
                <w:tblCellMar>
                  <w:top w:w="0" w:type="dxa"/>
                  <w:left w:w="108" w:type="dxa"/>
                  <w:bottom w:w="0" w:type="dxa"/>
                  <w:right w:w="108" w:type="dxa"/>
                </w:tblCellMar>
              </w:tblPrEx>
              <w:trPr>
                <w:cantSplit/>
              </w:trPr>
              <w:tc>
                <w:tcPr>
                  <w:tcW w:w="1133" w:type="pct"/>
                </w:tcPr>
                <w:p>
                  <w:pPr>
                    <w:pStyle w:val="3"/>
                    <w:widowControl w:val="0"/>
                    <w:spacing w:after="120"/>
                    <w:ind w:left="79"/>
                    <w:jc w:val="center"/>
                    <w:rPr>
                      <w:rFonts w:ascii="Arial" w:hAnsi="Arial" w:cs="Arial"/>
                      <w:b/>
                      <w:bCs/>
                      <w:sz w:val="21"/>
                      <w:szCs w:val="21"/>
                    </w:rPr>
                  </w:pPr>
                  <w:r>
                    <w:rPr>
                      <w:rFonts w:ascii="Arial" w:hAnsi="Arial" w:cs="Arial"/>
                      <w:b/>
                      <w:bCs/>
                      <w:sz w:val="21"/>
                      <w:szCs w:val="21"/>
                    </w:rPr>
                    <w:t>Tanggal Pembayaran Kembali</w:t>
                  </w:r>
                </w:p>
              </w:tc>
              <w:tc>
                <w:tcPr>
                  <w:tcW w:w="1938" w:type="pct"/>
                </w:tcPr>
                <w:p>
                  <w:pPr>
                    <w:pStyle w:val="3"/>
                    <w:widowControl w:val="0"/>
                    <w:spacing w:after="120"/>
                    <w:ind w:left="79"/>
                    <w:jc w:val="center"/>
                    <w:rPr>
                      <w:rFonts w:ascii="Arial" w:hAnsi="Arial" w:cs="Arial"/>
                      <w:b/>
                      <w:bCs/>
                      <w:sz w:val="21"/>
                      <w:szCs w:val="21"/>
                    </w:rPr>
                  </w:pPr>
                  <w:r>
                    <w:rPr>
                      <w:rFonts w:ascii="Arial" w:hAnsi="Arial" w:cs="Arial"/>
                      <w:b/>
                      <w:bCs/>
                      <w:sz w:val="21"/>
                      <w:szCs w:val="21"/>
                    </w:rPr>
                    <w:t>Tahapan Pembayaran Kembali</w:t>
                  </w:r>
                </w:p>
              </w:tc>
            </w:tr>
            <w:tr>
              <w:tblPrEx>
                <w:tblCellMar>
                  <w:top w:w="0" w:type="dxa"/>
                  <w:left w:w="108" w:type="dxa"/>
                  <w:bottom w:w="0" w:type="dxa"/>
                  <w:right w:w="108" w:type="dxa"/>
                </w:tblCellMar>
              </w:tblPrEx>
              <w:trPr>
                <w:cantSplit/>
              </w:trPr>
              <w:tc>
                <w:tcPr>
                  <w:tcW w:w="1133" w:type="pct"/>
                </w:tcPr>
                <w:p>
                  <w:pPr>
                    <w:pStyle w:val="3"/>
                    <w:widowControl w:val="0"/>
                    <w:spacing w:after="120"/>
                    <w:ind w:left="79"/>
                    <w:rPr>
                      <w:rFonts w:ascii="Arial" w:hAnsi="Arial" w:cs="Arial"/>
                      <w:b/>
                      <w:bCs/>
                      <w:sz w:val="21"/>
                      <w:szCs w:val="21"/>
                    </w:rPr>
                  </w:pPr>
                  <w:r>
                    <w:rPr>
                      <w:rFonts w:ascii="Arial" w:hAnsi="Arial" w:cs="Arial"/>
                      <w:sz w:val="21"/>
                      <w:szCs w:val="21"/>
                    </w:rPr>
                    <w:t>[</w:t>
                  </w:r>
                  <w:r>
                    <w:rPr>
                      <w:rFonts w:ascii="Arial" w:hAnsi="Arial" w:cs="Arial"/>
                      <w:i/>
                      <w:iCs/>
                      <w:sz w:val="21"/>
                      <w:szCs w:val="21"/>
                    </w:rPr>
                    <w:t>Masukkan tanggal</w:t>
                  </w:r>
                  <w:r>
                    <w:rPr>
                      <w:rFonts w:ascii="Arial" w:hAnsi="Arial" w:cs="Arial"/>
                      <w:sz w:val="21"/>
                      <w:szCs w:val="21"/>
                    </w:rPr>
                    <w:t>]</w:t>
                  </w:r>
                </w:p>
              </w:tc>
              <w:tc>
                <w:tcPr>
                  <w:tcW w:w="1938" w:type="pct"/>
                </w:tcPr>
                <w:p>
                  <w:pPr>
                    <w:pStyle w:val="3"/>
                    <w:widowControl w:val="0"/>
                    <w:spacing w:after="120"/>
                    <w:ind w:left="79"/>
                    <w:jc w:val="center"/>
                    <w:rPr>
                      <w:rFonts w:ascii="Arial" w:hAnsi="Arial" w:cs="Arial"/>
                      <w:sz w:val="21"/>
                      <w:szCs w:val="21"/>
                    </w:rPr>
                  </w:pPr>
                  <w:r>
                    <w:rPr>
                      <w:rFonts w:ascii="Arial" w:hAnsi="Arial" w:cs="Arial"/>
                      <w:sz w:val="21"/>
                      <w:szCs w:val="21"/>
                    </w:rPr>
                    <w:t>[</w:t>
                  </w:r>
                  <w:r>
                    <w:rPr>
                      <w:rFonts w:ascii="Arial" w:hAnsi="Arial" w:cs="Arial"/>
                      <w:i/>
                      <w:sz w:val="21"/>
                      <w:szCs w:val="21"/>
                    </w:rPr>
                    <w:t>persentase/fraksi/jumlah</w:t>
                  </w:r>
                  <w:r>
                    <w:rPr>
                      <w:rFonts w:ascii="Arial" w:hAnsi="Arial" w:cs="Arial"/>
                      <w:sz w:val="21"/>
                      <w:szCs w:val="21"/>
                    </w:rPr>
                    <w:t>]]</w:t>
                  </w:r>
                </w:p>
              </w:tc>
            </w:tr>
            <w:tr>
              <w:tblPrEx>
                <w:tblCellMar>
                  <w:top w:w="0" w:type="dxa"/>
                  <w:left w:w="108" w:type="dxa"/>
                  <w:bottom w:w="0" w:type="dxa"/>
                  <w:right w:w="108" w:type="dxa"/>
                </w:tblCellMar>
              </w:tblPrEx>
              <w:trPr>
                <w:cantSplit/>
              </w:trPr>
              <w:tc>
                <w:tcPr>
                  <w:tcW w:w="3071" w:type="pct"/>
                  <w:gridSpan w:val="2"/>
                </w:tcPr>
                <w:p>
                  <w:pPr>
                    <w:pStyle w:val="3"/>
                    <w:widowControl w:val="0"/>
                    <w:spacing w:after="120"/>
                    <w:ind w:left="79"/>
                    <w:rPr>
                      <w:rFonts w:ascii="Arial" w:hAnsi="Arial" w:cs="Arial"/>
                      <w:sz w:val="21"/>
                      <w:szCs w:val="21"/>
                    </w:rPr>
                  </w:pPr>
                  <w:r>
                    <w:rPr>
                      <w:rFonts w:ascii="Arial" w:hAnsi="Arial" w:cs="Arial"/>
                      <w:sz w:val="21"/>
                      <w:szCs w:val="21"/>
                    </w:rPr>
                    <w:t>Tanggal pembayaran kembali pertama harus disepakati dengan Perusahaan Proyek [namun tidak boleh lebih dari [enam] bulan setelah [Tanggal Penyelesaian Proyek] Terjadwal].]</w:t>
                  </w:r>
                </w:p>
              </w:tc>
            </w:tr>
          </w:tbl>
          <w:p>
            <w:pPr>
              <w:pStyle w:val="3"/>
              <w:widowControl w:val="0"/>
              <w:spacing w:after="120"/>
              <w:ind w:left="79"/>
              <w:rPr>
                <w:rFonts w:ascii="Arial" w:hAnsi="Arial" w:cs="Arial"/>
                <w:sz w:val="21"/>
                <w:szCs w:val="21"/>
              </w:rPr>
            </w:pPr>
          </w:p>
        </w:tc>
      </w:tr>
      <w:tr>
        <w:tblPrEx>
          <w:tblCellMar>
            <w:top w:w="0" w:type="dxa"/>
            <w:left w:w="108" w:type="dxa"/>
            <w:bottom w:w="0" w:type="dxa"/>
            <w:right w:w="108" w:type="dxa"/>
          </w:tblCellMar>
        </w:tblPrEx>
        <w:trPr>
          <w:cantSplit/>
        </w:trPr>
        <w:tc>
          <w:tcPr>
            <w:tcW w:w="2012" w:type="pct"/>
          </w:tcPr>
          <w:p>
            <w:pPr>
              <w:pStyle w:val="103"/>
              <w:tabs>
                <w:tab w:val="clear" w:pos="766"/>
              </w:tabs>
              <w:spacing w:after="120"/>
              <w:ind w:left="720" w:hanging="720"/>
              <w:rPr>
                <w:rFonts w:ascii="Arial" w:hAnsi="Arial" w:cs="Arial"/>
                <w:b/>
                <w:sz w:val="21"/>
                <w:szCs w:val="21"/>
              </w:rPr>
            </w:pPr>
            <w:bookmarkStart w:id="87" w:name="_9kMI0E7ZVw8EB79G"/>
            <w:bookmarkStart w:id="88" w:name="_9kMI0G6ZWu8EB7DN"/>
            <w:r>
              <w:rPr>
                <w:rFonts w:ascii="Arial" w:hAnsi="Arial" w:cs="Arial"/>
                <w:bCs/>
                <w:sz w:val="21"/>
                <w:szCs w:val="21"/>
              </w:rPr>
              <w:t>[</w:t>
            </w:r>
            <w:bookmarkEnd w:id="87"/>
            <w:bookmarkEnd w:id="88"/>
            <w:r>
              <w:rPr>
                <w:rFonts w:ascii="Arial" w:hAnsi="Arial" w:cs="Arial"/>
                <w:b/>
                <w:sz w:val="21"/>
                <w:szCs w:val="21"/>
              </w:rPr>
              <w:t>Pembayaran Kembali Fasilitas Modal Kerja:</w:t>
            </w:r>
          </w:p>
        </w:tc>
        <w:tc>
          <w:tcPr>
            <w:tcW w:w="2988" w:type="pct"/>
          </w:tcPr>
          <w:p>
            <w:pPr>
              <w:pStyle w:val="3"/>
              <w:widowControl w:val="0"/>
              <w:spacing w:after="120"/>
              <w:ind w:left="79"/>
              <w:rPr>
                <w:rFonts w:ascii="Arial" w:hAnsi="Arial" w:cs="Arial"/>
                <w:sz w:val="21"/>
                <w:szCs w:val="21"/>
              </w:rPr>
            </w:pPr>
            <w:r>
              <w:rPr>
                <w:rFonts w:ascii="Arial" w:hAnsi="Arial" w:cs="Arial"/>
                <w:sz w:val="21"/>
                <w:szCs w:val="21"/>
              </w:rPr>
              <w:t>[Setiap Pinjaman harus dibayar kembali pada hari terakhir Periode Bunga.] / [Fasilitas Modal Kerja harus dibayar kembali sebelum [Tanggal Jatuh Tempo Akhir].]</w:t>
            </w:r>
          </w:p>
        </w:tc>
      </w:tr>
      <w:tr>
        <w:tblPrEx>
          <w:tblCellMar>
            <w:top w:w="0" w:type="dxa"/>
            <w:left w:w="108" w:type="dxa"/>
            <w:bottom w:w="0" w:type="dxa"/>
            <w:right w:w="108" w:type="dxa"/>
          </w:tblCellMar>
        </w:tblPrEx>
        <w:trPr>
          <w:cantSplit/>
        </w:trPr>
        <w:tc>
          <w:tcPr>
            <w:tcW w:w="2012" w:type="pct"/>
          </w:tcPr>
          <w:p>
            <w:pPr>
              <w:pStyle w:val="103"/>
              <w:tabs>
                <w:tab w:val="clear" w:pos="766"/>
              </w:tabs>
              <w:spacing w:after="120"/>
              <w:ind w:left="720" w:hanging="720"/>
              <w:rPr>
                <w:rFonts w:ascii="Arial" w:hAnsi="Arial" w:cs="Arial"/>
                <w:b/>
                <w:bCs/>
                <w:sz w:val="21"/>
                <w:szCs w:val="21"/>
              </w:rPr>
            </w:pPr>
            <w:r>
              <w:rPr>
                <w:rFonts w:ascii="Arial" w:hAnsi="Arial" w:cs="Arial"/>
                <w:sz w:val="21"/>
                <w:szCs w:val="21"/>
              </w:rPr>
              <w:t>[</w:t>
            </w:r>
            <w:r>
              <w:rPr>
                <w:rFonts w:ascii="Arial" w:hAnsi="Arial" w:cs="Arial"/>
                <w:b/>
                <w:bCs/>
                <w:sz w:val="21"/>
                <w:szCs w:val="21"/>
              </w:rPr>
              <w:t xml:space="preserve">Pembayaran Kembali Fasilitas </w:t>
            </w:r>
            <w:r>
              <w:rPr>
                <w:rFonts w:ascii="Arial" w:hAnsi="Arial" w:cs="Arial"/>
                <w:b/>
                <w:bCs/>
                <w:i/>
                <w:sz w:val="21"/>
                <w:szCs w:val="21"/>
              </w:rPr>
              <w:t>Standby</w:t>
            </w:r>
            <w:r>
              <w:rPr>
                <w:rFonts w:ascii="Arial" w:hAnsi="Arial" w:cs="Arial"/>
                <w:b/>
                <w:bCs/>
                <w:sz w:val="21"/>
                <w:szCs w:val="21"/>
              </w:rPr>
              <w:t>:</w:t>
            </w:r>
          </w:p>
        </w:tc>
        <w:tc>
          <w:tcPr>
            <w:tcW w:w="2988" w:type="pct"/>
          </w:tcPr>
          <w:p>
            <w:pPr>
              <w:pStyle w:val="3"/>
              <w:widowControl w:val="0"/>
              <w:spacing w:after="120"/>
              <w:ind w:left="79"/>
              <w:rPr>
                <w:rFonts w:ascii="Arial" w:hAnsi="Arial" w:cs="Arial"/>
                <w:sz w:val="21"/>
                <w:szCs w:val="21"/>
              </w:rPr>
            </w:pPr>
            <w:r>
              <w:rPr>
                <w:rFonts w:ascii="Arial" w:hAnsi="Arial" w:cs="Arial"/>
                <w:sz w:val="21"/>
                <w:szCs w:val="21"/>
              </w:rPr>
              <w:t>[</w:t>
            </w:r>
            <w:r>
              <w:rPr>
                <w:rFonts w:ascii="Arial" w:hAnsi="Arial" w:cs="Arial"/>
                <w:i/>
                <w:iCs/>
                <w:sz w:val="21"/>
                <w:szCs w:val="21"/>
              </w:rPr>
              <w:t>Masukkan jadwal pembayaran kembali</w:t>
            </w:r>
            <w:r>
              <w:rPr>
                <w:rFonts w:ascii="Arial" w:hAnsi="Arial" w:cs="Arial"/>
                <w:sz w:val="21"/>
                <w:szCs w:val="21"/>
              </w:rPr>
              <w:t>.]]</w:t>
            </w:r>
          </w:p>
        </w:tc>
      </w:tr>
      <w:tr>
        <w:tblPrEx>
          <w:tblCellMar>
            <w:top w:w="0" w:type="dxa"/>
            <w:left w:w="108" w:type="dxa"/>
            <w:bottom w:w="0" w:type="dxa"/>
            <w:right w:w="108" w:type="dxa"/>
          </w:tblCellMar>
        </w:tblPrEx>
        <w:trPr>
          <w:cantSplit/>
        </w:trPr>
        <w:tc>
          <w:tcPr>
            <w:tcW w:w="2012" w:type="pct"/>
          </w:tcPr>
          <w:p>
            <w:pPr>
              <w:pStyle w:val="103"/>
              <w:tabs>
                <w:tab w:val="clear" w:pos="766"/>
              </w:tabs>
              <w:spacing w:after="120"/>
              <w:ind w:left="720" w:hanging="720"/>
              <w:rPr>
                <w:rFonts w:ascii="Arial" w:hAnsi="Arial" w:cs="Arial"/>
                <w:b/>
                <w:bCs/>
                <w:sz w:val="21"/>
                <w:szCs w:val="21"/>
              </w:rPr>
            </w:pPr>
            <w:r>
              <w:rPr>
                <w:rFonts w:ascii="Arial" w:hAnsi="Arial" w:cs="Arial"/>
                <w:sz w:val="21"/>
                <w:szCs w:val="21"/>
              </w:rPr>
              <w:t>[</w:t>
            </w:r>
            <w:r>
              <w:rPr>
                <w:rFonts w:ascii="Arial" w:hAnsi="Arial" w:cs="Arial"/>
                <w:b/>
                <w:bCs/>
                <w:sz w:val="21"/>
                <w:szCs w:val="21"/>
              </w:rPr>
              <w:t>Pembayaran Kembali Fasilitas Talangan Ekuitas (</w:t>
            </w:r>
            <w:r>
              <w:rPr>
                <w:rFonts w:ascii="Arial" w:hAnsi="Arial" w:cs="Arial"/>
                <w:b/>
                <w:bCs/>
                <w:i/>
                <w:iCs/>
                <w:sz w:val="21"/>
                <w:szCs w:val="21"/>
              </w:rPr>
              <w:t>Bridge Equity</w:t>
            </w:r>
            <w:r>
              <w:rPr>
                <w:rFonts w:ascii="Arial" w:hAnsi="Arial" w:cs="Arial"/>
                <w:b/>
                <w:bCs/>
                <w:i/>
                <w:iCs/>
                <w:sz w:val="21"/>
                <w:szCs w:val="21"/>
                <w:lang w:val="en-US"/>
              </w:rPr>
              <w:t xml:space="preserve"> Facility</w:t>
            </w:r>
            <w:r>
              <w:rPr>
                <w:rFonts w:ascii="Arial" w:hAnsi="Arial" w:cs="Arial"/>
                <w:b/>
                <w:bCs/>
                <w:sz w:val="21"/>
                <w:szCs w:val="21"/>
              </w:rPr>
              <w:t>):</w:t>
            </w:r>
          </w:p>
        </w:tc>
        <w:tc>
          <w:tcPr>
            <w:tcW w:w="2988" w:type="pct"/>
          </w:tcPr>
          <w:p>
            <w:pPr>
              <w:pStyle w:val="3"/>
              <w:widowControl w:val="0"/>
              <w:spacing w:after="120"/>
              <w:ind w:left="79"/>
              <w:rPr>
                <w:rFonts w:ascii="Arial" w:hAnsi="Arial" w:cs="Arial"/>
                <w:sz w:val="21"/>
                <w:szCs w:val="21"/>
              </w:rPr>
            </w:pPr>
            <w:r>
              <w:rPr>
                <w:rFonts w:ascii="Arial" w:hAnsi="Arial" w:cs="Arial"/>
                <w:sz w:val="21"/>
                <w:szCs w:val="21"/>
              </w:rPr>
              <w:t>[</w:t>
            </w:r>
            <w:r>
              <w:rPr>
                <w:rFonts w:ascii="Arial" w:hAnsi="Arial" w:cs="Arial"/>
                <w:i/>
                <w:iCs/>
                <w:sz w:val="21"/>
                <w:szCs w:val="21"/>
              </w:rPr>
              <w:t>Masukkan jadwal pembayaran kembali</w:t>
            </w:r>
            <w:r>
              <w:rPr>
                <w:rFonts w:ascii="Arial" w:hAnsi="Arial" w:cs="Arial"/>
                <w:sz w:val="21"/>
                <w:szCs w:val="21"/>
              </w:rPr>
              <w:t>.]]</w:t>
            </w:r>
          </w:p>
        </w:tc>
      </w:tr>
      <w:tr>
        <w:tblPrEx>
          <w:tblCellMar>
            <w:top w:w="0" w:type="dxa"/>
            <w:left w:w="108" w:type="dxa"/>
            <w:bottom w:w="0" w:type="dxa"/>
            <w:right w:w="108" w:type="dxa"/>
          </w:tblCellMar>
        </w:tblPrEx>
        <w:trPr>
          <w:cantSplit/>
        </w:trPr>
        <w:tc>
          <w:tcPr>
            <w:tcW w:w="2012" w:type="pct"/>
          </w:tcPr>
          <w:p>
            <w:pPr>
              <w:pStyle w:val="103"/>
              <w:tabs>
                <w:tab w:val="clear" w:pos="766"/>
              </w:tabs>
              <w:spacing w:after="120"/>
              <w:ind w:left="720" w:hanging="720"/>
              <w:rPr>
                <w:rFonts w:ascii="Arial" w:hAnsi="Arial" w:cs="Arial"/>
                <w:b/>
                <w:bCs/>
                <w:sz w:val="21"/>
                <w:szCs w:val="21"/>
              </w:rPr>
            </w:pPr>
            <w:r>
              <w:rPr>
                <w:rFonts w:ascii="Arial" w:hAnsi="Arial" w:cs="Arial"/>
                <w:sz w:val="21"/>
                <w:szCs w:val="21"/>
              </w:rPr>
              <w:t>[</w:t>
            </w:r>
            <w:r>
              <w:rPr>
                <w:rFonts w:ascii="Arial" w:hAnsi="Arial" w:cs="Arial"/>
                <w:b/>
                <w:bCs/>
                <w:sz w:val="21"/>
                <w:szCs w:val="21"/>
              </w:rPr>
              <w:t>Pembayaran Kembali Fasilitas ECA:</w:t>
            </w:r>
          </w:p>
        </w:tc>
        <w:tc>
          <w:tcPr>
            <w:tcW w:w="2988" w:type="pct"/>
          </w:tcPr>
          <w:p>
            <w:pPr>
              <w:pStyle w:val="3"/>
              <w:widowControl w:val="0"/>
              <w:spacing w:after="120"/>
              <w:ind w:left="79"/>
              <w:rPr>
                <w:rFonts w:ascii="Arial" w:hAnsi="Arial" w:cs="Arial"/>
                <w:sz w:val="21"/>
                <w:szCs w:val="21"/>
              </w:rPr>
            </w:pPr>
            <w:r>
              <w:rPr>
                <w:rFonts w:ascii="Arial" w:hAnsi="Arial" w:cs="Arial"/>
                <w:sz w:val="21"/>
                <w:szCs w:val="21"/>
              </w:rPr>
              <w:t>[</w:t>
            </w:r>
            <w:r>
              <w:rPr>
                <w:rFonts w:ascii="Arial" w:hAnsi="Arial" w:cs="Arial"/>
                <w:i/>
                <w:iCs/>
                <w:sz w:val="21"/>
                <w:szCs w:val="21"/>
              </w:rPr>
              <w:t>Masukkan jadwal pembayaran kembali</w:t>
            </w:r>
            <w:r>
              <w:rPr>
                <w:rFonts w:ascii="Arial" w:hAnsi="Arial" w:cs="Arial"/>
                <w:sz w:val="21"/>
                <w:szCs w:val="21"/>
              </w:rPr>
              <w:t>.]]</w:t>
            </w:r>
          </w:p>
        </w:tc>
      </w:tr>
      <w:tr>
        <w:tblPrEx>
          <w:tblCellMar>
            <w:top w:w="0" w:type="dxa"/>
            <w:left w:w="108" w:type="dxa"/>
            <w:bottom w:w="0" w:type="dxa"/>
            <w:right w:w="108" w:type="dxa"/>
          </w:tblCellMar>
        </w:tblPrEx>
        <w:trPr>
          <w:cantSplit/>
        </w:trPr>
        <w:tc>
          <w:tcPr>
            <w:tcW w:w="2012" w:type="pct"/>
          </w:tcPr>
          <w:p>
            <w:pPr>
              <w:pStyle w:val="103"/>
              <w:tabs>
                <w:tab w:val="clear" w:pos="766"/>
              </w:tabs>
              <w:spacing w:after="120"/>
              <w:ind w:left="720" w:hanging="720"/>
              <w:rPr>
                <w:rFonts w:ascii="Arial" w:hAnsi="Arial" w:cs="Arial"/>
                <w:b/>
                <w:bCs/>
                <w:sz w:val="21"/>
                <w:szCs w:val="21"/>
              </w:rPr>
            </w:pPr>
            <w:r>
              <w:rPr>
                <w:rFonts w:ascii="Arial" w:hAnsi="Arial" w:cs="Arial"/>
                <w:sz w:val="21"/>
                <w:szCs w:val="21"/>
              </w:rPr>
              <w:t>[</w:t>
            </w:r>
            <w:r>
              <w:rPr>
                <w:rFonts w:ascii="Arial" w:hAnsi="Arial" w:cs="Arial"/>
                <w:b/>
                <w:bCs/>
                <w:sz w:val="21"/>
                <w:szCs w:val="21"/>
              </w:rPr>
              <w:t>Pembayaran Kembali Fasilitas PPN/</w:t>
            </w:r>
            <w:r>
              <w:rPr>
                <w:rFonts w:ascii="Arial" w:hAnsi="Arial" w:cs="Arial"/>
                <w:sz w:val="16"/>
                <w:szCs w:val="16"/>
              </w:rPr>
              <w:t xml:space="preserve"> </w:t>
            </w:r>
            <w:r>
              <w:rPr>
                <w:rFonts w:ascii="Arial" w:hAnsi="Arial" w:cs="Arial"/>
                <w:b/>
                <w:bCs/>
                <w:sz w:val="21"/>
                <w:szCs w:val="21"/>
              </w:rPr>
              <w:t>Pajak Barang dan Jasa (</w:t>
            </w:r>
            <w:r>
              <w:rPr>
                <w:rFonts w:ascii="Arial" w:hAnsi="Arial" w:cs="Arial"/>
                <w:b/>
                <w:bCs/>
                <w:i/>
                <w:iCs/>
                <w:sz w:val="21"/>
                <w:szCs w:val="21"/>
              </w:rPr>
              <w:t>GST</w:t>
            </w:r>
            <w:r>
              <w:rPr>
                <w:rFonts w:ascii="Arial" w:hAnsi="Arial" w:cs="Arial"/>
                <w:b/>
                <w:bCs/>
                <w:sz w:val="21"/>
                <w:szCs w:val="21"/>
              </w:rPr>
              <w:t>):</w:t>
            </w:r>
          </w:p>
        </w:tc>
        <w:tc>
          <w:tcPr>
            <w:tcW w:w="2988" w:type="pct"/>
          </w:tcPr>
          <w:p>
            <w:pPr>
              <w:pStyle w:val="3"/>
              <w:widowControl w:val="0"/>
              <w:spacing w:after="120"/>
              <w:ind w:left="79"/>
              <w:rPr>
                <w:rFonts w:ascii="Arial" w:hAnsi="Arial" w:cs="Arial"/>
                <w:sz w:val="21"/>
                <w:szCs w:val="21"/>
              </w:rPr>
            </w:pPr>
            <w:r>
              <w:rPr>
                <w:rFonts w:ascii="Arial" w:hAnsi="Arial" w:cs="Arial"/>
                <w:sz w:val="21"/>
                <w:szCs w:val="21"/>
              </w:rPr>
              <w:t>[</w:t>
            </w:r>
            <w:r>
              <w:rPr>
                <w:rFonts w:ascii="Arial" w:hAnsi="Arial" w:cs="Arial"/>
                <w:i/>
                <w:iCs/>
                <w:sz w:val="21"/>
                <w:szCs w:val="21"/>
              </w:rPr>
              <w:t>Masukkan jadwal pembayaran kembali</w:t>
            </w:r>
            <w:r>
              <w:rPr>
                <w:rFonts w:ascii="Arial" w:hAnsi="Arial" w:cs="Arial"/>
                <w:sz w:val="21"/>
                <w:szCs w:val="21"/>
              </w:rPr>
              <w:t>.]]</w:t>
            </w:r>
          </w:p>
        </w:tc>
      </w:tr>
    </w:tbl>
    <w:p>
      <w:pPr>
        <w:pStyle w:val="105"/>
        <w:keepLines/>
        <w:spacing w:after="120"/>
        <w:rPr>
          <w:rFonts w:ascii="Arial" w:hAnsi="Arial" w:cs="Arial"/>
          <w:b w:val="0"/>
          <w:sz w:val="21"/>
          <w:szCs w:val="21"/>
        </w:rPr>
      </w:pPr>
      <w:bookmarkStart w:id="89" w:name="_Toc74860680"/>
      <w:bookmarkStart w:id="90" w:name="_Toc74557534"/>
      <w:r>
        <w:rPr>
          <w:rFonts w:ascii="Arial" w:hAnsi="Arial" w:cs="Arial"/>
          <w:sz w:val="21"/>
          <w:szCs w:val="21"/>
          <w:lang w:eastAsia="zh-CN"/>
        </w:rPr>
        <w:t>LINDUNG NILAI</w:t>
      </w:r>
      <w:bookmarkEnd w:id="89"/>
      <w:bookmarkEnd w:id="90"/>
    </w:p>
    <w:tbl>
      <w:tblPr>
        <w:tblStyle w:val="17"/>
        <w:tblW w:w="5000" w:type="pct"/>
        <w:tblInd w:w="-180" w:type="dxa"/>
        <w:tblLayout w:type="autofit"/>
        <w:tblCellMar>
          <w:top w:w="0" w:type="dxa"/>
          <w:left w:w="108" w:type="dxa"/>
          <w:bottom w:w="0" w:type="dxa"/>
          <w:right w:w="108" w:type="dxa"/>
        </w:tblCellMar>
      </w:tblPr>
      <w:tblGrid>
        <w:gridCol w:w="3624"/>
        <w:gridCol w:w="5259"/>
      </w:tblGrid>
      <w:tr>
        <w:tblPrEx>
          <w:tblCellMar>
            <w:top w:w="0" w:type="dxa"/>
            <w:left w:w="108" w:type="dxa"/>
            <w:bottom w:w="0" w:type="dxa"/>
            <w:right w:w="108" w:type="dxa"/>
          </w:tblCellMar>
        </w:tblPrEx>
        <w:tc>
          <w:tcPr>
            <w:tcW w:w="3536" w:type="dxa"/>
          </w:tcPr>
          <w:p>
            <w:pPr>
              <w:pStyle w:val="103"/>
              <w:keepNext/>
              <w:keepLines/>
              <w:tabs>
                <w:tab w:val="clear" w:pos="766"/>
              </w:tabs>
              <w:suppressAutoHyphens/>
              <w:spacing w:after="120"/>
              <w:ind w:left="720" w:hanging="720"/>
              <w:rPr>
                <w:rFonts w:ascii="Arial" w:hAnsi="Arial" w:cs="Arial"/>
                <w:b/>
                <w:sz w:val="21"/>
                <w:szCs w:val="21"/>
              </w:rPr>
            </w:pPr>
            <w:r>
              <w:rPr>
                <w:rFonts w:ascii="Arial" w:hAnsi="Arial" w:cs="Arial"/>
                <w:b/>
                <w:sz w:val="21"/>
                <w:szCs w:val="21"/>
              </w:rPr>
              <w:t>Strategi Lindung Nilai</w:t>
            </w:r>
            <w:r>
              <w:rPr>
                <w:rStyle w:val="25"/>
                <w:rFonts w:ascii="Arial" w:hAnsi="Arial" w:cs="Arial"/>
                <w:b/>
                <w:bCs/>
                <w:sz w:val="21"/>
                <w:szCs w:val="21"/>
              </w:rPr>
              <w:footnoteReference w:id="76"/>
            </w:r>
            <w:r>
              <w:rPr>
                <w:rFonts w:ascii="Arial" w:hAnsi="Arial" w:cs="Arial"/>
                <w:b/>
                <w:sz w:val="21"/>
                <w:szCs w:val="21"/>
              </w:rPr>
              <w:t>:</w:t>
            </w:r>
          </w:p>
        </w:tc>
        <w:tc>
          <w:tcPr>
            <w:tcW w:w="5131" w:type="dxa"/>
          </w:tcPr>
          <w:p>
            <w:pPr>
              <w:pStyle w:val="3"/>
              <w:keepNext/>
              <w:keepLines/>
              <w:suppressAutoHyphens/>
              <w:spacing w:after="120"/>
              <w:ind w:left="0"/>
              <w:rPr>
                <w:rFonts w:ascii="Arial" w:hAnsi="Arial" w:cs="Arial"/>
                <w:b/>
                <w:bCs/>
                <w:i/>
                <w:iCs/>
                <w:sz w:val="21"/>
                <w:szCs w:val="21"/>
              </w:rPr>
            </w:pPr>
            <w:r>
              <w:rPr>
                <w:rFonts w:ascii="Arial" w:hAnsi="Arial" w:cs="Arial"/>
                <w:b/>
                <w:bCs/>
                <w:i/>
                <w:iCs/>
                <w:sz w:val="21"/>
                <w:szCs w:val="21"/>
              </w:rPr>
              <w:t>Lindung nilai atas tingkat suku bunga</w:t>
            </w:r>
          </w:p>
        </w:tc>
      </w:tr>
      <w:tr>
        <w:tblPrEx>
          <w:tblCellMar>
            <w:top w:w="0" w:type="dxa"/>
            <w:left w:w="108" w:type="dxa"/>
            <w:bottom w:w="0" w:type="dxa"/>
            <w:right w:w="108" w:type="dxa"/>
          </w:tblCellMar>
        </w:tblPrEx>
        <w:tc>
          <w:tcPr>
            <w:tcW w:w="3536" w:type="dxa"/>
          </w:tcPr>
          <w:p>
            <w:pPr>
              <w:pStyle w:val="3"/>
              <w:keepNext/>
              <w:keepLines/>
              <w:suppressAutoHyphens/>
              <w:spacing w:after="120"/>
              <w:ind w:left="0"/>
              <w:rPr>
                <w:rFonts w:ascii="Arial" w:hAnsi="Arial" w:cs="Arial"/>
                <w:sz w:val="21"/>
                <w:szCs w:val="21"/>
              </w:rPr>
            </w:pPr>
          </w:p>
        </w:tc>
        <w:tc>
          <w:tcPr>
            <w:tcW w:w="5131" w:type="dxa"/>
          </w:tcPr>
          <w:p>
            <w:pPr>
              <w:pStyle w:val="99"/>
              <w:keepNext/>
              <w:keepLines/>
              <w:tabs>
                <w:tab w:val="clear" w:pos="720"/>
              </w:tabs>
              <w:suppressAutoHyphens/>
              <w:spacing w:after="120"/>
              <w:rPr>
                <w:rFonts w:ascii="Arial" w:hAnsi="Arial" w:cs="Arial"/>
                <w:sz w:val="21"/>
                <w:szCs w:val="21"/>
              </w:rPr>
            </w:pPr>
            <w:r>
              <w:rPr>
                <w:rFonts w:ascii="Arial" w:hAnsi="Arial" w:cs="Arial"/>
                <w:sz w:val="21"/>
                <w:szCs w:val="21"/>
              </w:rPr>
              <w:t xml:space="preserve">[Strategi Lindung Nilai yang akan disepakati dengan [Para </w:t>
            </w:r>
            <w:r>
              <w:rPr>
                <w:rFonts w:ascii="Arial" w:hAnsi="Arial" w:cs="Arial"/>
                <w:i/>
                <w:sz w:val="21"/>
                <w:szCs w:val="21"/>
              </w:rPr>
              <w:t>Mandated Lead Arranger</w:t>
            </w:r>
            <w:r>
              <w:rPr>
                <w:rFonts w:ascii="Arial" w:hAnsi="Arial" w:cs="Arial"/>
                <w:sz w:val="21"/>
                <w:szCs w:val="21"/>
              </w:rPr>
              <w:t>/Para Kreditur] sebelum Tanggal Penandatanganan.</w:t>
            </w:r>
          </w:p>
        </w:tc>
      </w:tr>
      <w:tr>
        <w:tblPrEx>
          <w:tblCellMar>
            <w:top w:w="0" w:type="dxa"/>
            <w:left w:w="108" w:type="dxa"/>
            <w:bottom w:w="0" w:type="dxa"/>
            <w:right w:w="108" w:type="dxa"/>
          </w:tblCellMar>
        </w:tblPrEx>
        <w:tc>
          <w:tcPr>
            <w:tcW w:w="3536" w:type="dxa"/>
          </w:tcPr>
          <w:p>
            <w:pPr>
              <w:pStyle w:val="3"/>
              <w:widowControl w:val="0"/>
              <w:spacing w:after="120"/>
              <w:ind w:left="0"/>
              <w:rPr>
                <w:rFonts w:ascii="Arial" w:hAnsi="Arial" w:cs="Arial"/>
                <w:sz w:val="21"/>
                <w:szCs w:val="21"/>
              </w:rPr>
            </w:pPr>
          </w:p>
        </w:tc>
        <w:tc>
          <w:tcPr>
            <w:tcW w:w="5131" w:type="dxa"/>
          </w:tcPr>
          <w:p>
            <w:pPr>
              <w:pStyle w:val="99"/>
              <w:tabs>
                <w:tab w:val="clear" w:pos="720"/>
              </w:tabs>
              <w:spacing w:after="120"/>
              <w:rPr>
                <w:rFonts w:ascii="Arial" w:hAnsi="Arial" w:cs="Arial"/>
                <w:sz w:val="21"/>
                <w:szCs w:val="21"/>
              </w:rPr>
            </w:pPr>
            <w:r>
              <w:rPr>
                <w:rFonts w:ascii="Arial" w:hAnsi="Arial" w:cs="Arial"/>
                <w:sz w:val="21"/>
                <w:szCs w:val="21"/>
              </w:rPr>
              <w:t xml:space="preserve">Para pihak lawan berkontrak lindung nilai mungkin adalah setiap </w:t>
            </w:r>
            <w:r>
              <w:rPr>
                <w:rFonts w:ascii="Arial" w:hAnsi="Arial" w:cs="Arial"/>
                <w:i/>
                <w:sz w:val="21"/>
                <w:szCs w:val="21"/>
              </w:rPr>
              <w:t>Mandated Lead Arranger</w:t>
            </w:r>
            <w:r>
              <w:rPr>
                <w:rFonts w:ascii="Arial" w:hAnsi="Arial" w:cs="Arial"/>
                <w:sz w:val="21"/>
                <w:szCs w:val="21"/>
              </w:rPr>
              <w:t xml:space="preserve">, Kreditur </w:t>
            </w:r>
            <w:r>
              <w:rPr>
                <w:rFonts w:ascii="Arial" w:hAnsi="Arial" w:cs="Arial"/>
                <w:sz w:val="21"/>
                <w:szCs w:val="21"/>
                <w:lang w:val="en-US"/>
              </w:rPr>
              <w:t xml:space="preserve">atau </w:t>
            </w:r>
            <w:r>
              <w:rPr>
                <w:rFonts w:ascii="Arial" w:hAnsi="Arial" w:cs="Arial"/>
                <w:sz w:val="21"/>
                <w:szCs w:val="21"/>
              </w:rPr>
              <w:t xml:space="preserve">afiliasi-afiliasinya [atau pihak lawan </w:t>
            </w:r>
            <w:r>
              <w:rPr>
                <w:rFonts w:ascii="Arial" w:hAnsi="Arial" w:cs="Arial"/>
                <w:sz w:val="21"/>
                <w:szCs w:val="21"/>
                <w:lang w:val="en-US"/>
              </w:rPr>
              <w:t xml:space="preserve">berkontrak </w:t>
            </w:r>
            <w:r>
              <w:rPr>
                <w:rFonts w:ascii="Arial" w:hAnsi="Arial" w:cs="Arial"/>
                <w:sz w:val="21"/>
                <w:szCs w:val="21"/>
              </w:rPr>
              <w:t>lain manapun] dengan, dalam hal apapun, peringkat kredit jangka panjang [</w:t>
            </w:r>
            <w:bookmarkStart w:id="91" w:name="_9kMK5H7ZVw9A67AB"/>
            <w:bookmarkStart w:id="92" w:name="_9kMK5J6ZWu9A67EI"/>
            <w:r>
              <w:rPr>
                <w:rFonts w:ascii="Arial" w:hAnsi="Arial" w:cs="Arial"/>
                <w:sz w:val="21"/>
                <w:szCs w:val="21"/>
              </w:rPr>
              <w:t>•</w:t>
            </w:r>
            <w:bookmarkEnd w:id="91"/>
            <w:bookmarkEnd w:id="92"/>
            <w:r>
              <w:rPr>
                <w:rFonts w:ascii="Arial" w:hAnsi="Arial" w:cs="Arial"/>
                <w:sz w:val="21"/>
                <w:szCs w:val="21"/>
              </w:rPr>
              <w:t>] (S&amp;P atau Fitch) atau [</w:t>
            </w:r>
            <w:bookmarkStart w:id="93" w:name="_9kMK6K6ZWu9A67EI"/>
            <w:bookmarkStart w:id="94" w:name="_9kMK6I7ZVw9A67AB"/>
            <w:r>
              <w:rPr>
                <w:rFonts w:ascii="Arial" w:hAnsi="Arial" w:cs="Arial"/>
                <w:sz w:val="21"/>
                <w:szCs w:val="21"/>
              </w:rPr>
              <w:t>•</w:t>
            </w:r>
            <w:bookmarkEnd w:id="93"/>
            <w:bookmarkEnd w:id="94"/>
            <w:r>
              <w:rPr>
                <w:rFonts w:ascii="Arial" w:hAnsi="Arial" w:cs="Arial"/>
                <w:sz w:val="21"/>
                <w:szCs w:val="21"/>
              </w:rPr>
              <w:t>] (</w:t>
            </w:r>
            <w:bookmarkStart w:id="95" w:name="_9kP4WSt673489"/>
            <w:bookmarkStart w:id="96" w:name="_9kR3WTr6734CG"/>
            <w:r>
              <w:rPr>
                <w:rFonts w:ascii="Arial" w:hAnsi="Arial" w:cs="Arial"/>
                <w:sz w:val="21"/>
                <w:szCs w:val="21"/>
              </w:rPr>
              <w:t>Moody's</w:t>
            </w:r>
            <w:bookmarkEnd w:id="95"/>
            <w:bookmarkEnd w:id="96"/>
            <w:r>
              <w:rPr>
                <w:rFonts w:ascii="Arial" w:hAnsi="Arial" w:cs="Arial"/>
                <w:sz w:val="21"/>
                <w:szCs w:val="21"/>
              </w:rPr>
              <w:t>) atau lebih tinggi.</w:t>
            </w:r>
          </w:p>
        </w:tc>
      </w:tr>
      <w:tr>
        <w:tblPrEx>
          <w:tblCellMar>
            <w:top w:w="0" w:type="dxa"/>
            <w:left w:w="108" w:type="dxa"/>
            <w:bottom w:w="0" w:type="dxa"/>
            <w:right w:w="108" w:type="dxa"/>
          </w:tblCellMar>
        </w:tblPrEx>
        <w:tc>
          <w:tcPr>
            <w:tcW w:w="3536" w:type="dxa"/>
          </w:tcPr>
          <w:p>
            <w:pPr>
              <w:pStyle w:val="3"/>
              <w:widowControl w:val="0"/>
              <w:spacing w:after="120"/>
              <w:ind w:left="0"/>
              <w:rPr>
                <w:rFonts w:ascii="Arial" w:hAnsi="Arial" w:cs="Arial"/>
                <w:sz w:val="21"/>
                <w:szCs w:val="21"/>
              </w:rPr>
            </w:pPr>
          </w:p>
        </w:tc>
        <w:tc>
          <w:tcPr>
            <w:tcW w:w="5131" w:type="dxa"/>
          </w:tcPr>
          <w:p>
            <w:pPr>
              <w:pStyle w:val="99"/>
              <w:tabs>
                <w:tab w:val="clear" w:pos="720"/>
              </w:tabs>
              <w:spacing w:after="120"/>
              <w:rPr>
                <w:rFonts w:ascii="Arial" w:hAnsi="Arial" w:cs="Arial"/>
                <w:sz w:val="21"/>
                <w:szCs w:val="21"/>
              </w:rPr>
            </w:pPr>
            <w:r>
              <w:rPr>
                <w:rFonts w:ascii="Arial" w:hAnsi="Arial" w:cs="Arial"/>
                <w:sz w:val="21"/>
                <w:szCs w:val="21"/>
              </w:rPr>
              <w:t xml:space="preserve">Para pihak lawan berkontrak lindung nilai akan menundukkan diri pada Dokumen-dokumen Pembiayaan terkait sebagai para pihak lawan berkontrak lindung nilai, memiliki hak-hak suara biasa yang akan disetujui pasca-percepatan terkait dengan jumlah-jumlah pengakhiran yang terutang kepada pihaknya berdasarkan kontrak-kontrak lindung nilai dan akan menjadi para penerima manfaat berdasarkan asas </w:t>
            </w:r>
            <w:r>
              <w:rPr>
                <w:rFonts w:ascii="Arial" w:hAnsi="Arial" w:cs="Arial"/>
                <w:i/>
                <w:sz w:val="21"/>
                <w:szCs w:val="21"/>
              </w:rPr>
              <w:t>pari passu</w:t>
            </w:r>
            <w:r>
              <w:rPr>
                <w:rFonts w:ascii="Arial" w:hAnsi="Arial" w:cs="Arial"/>
                <w:sz w:val="21"/>
                <w:szCs w:val="21"/>
              </w:rPr>
              <w:t xml:space="preserve"> atas paket jaminan Para Kreditur.]</w:t>
            </w:r>
          </w:p>
        </w:tc>
      </w:tr>
      <w:tr>
        <w:tblPrEx>
          <w:tblCellMar>
            <w:top w:w="0" w:type="dxa"/>
            <w:left w:w="108" w:type="dxa"/>
            <w:bottom w:w="0" w:type="dxa"/>
            <w:right w:w="108" w:type="dxa"/>
          </w:tblCellMar>
        </w:tblPrEx>
        <w:tc>
          <w:tcPr>
            <w:tcW w:w="3536" w:type="dxa"/>
          </w:tcPr>
          <w:p>
            <w:pPr>
              <w:pStyle w:val="3"/>
              <w:widowControl w:val="0"/>
              <w:spacing w:after="120"/>
              <w:ind w:left="0"/>
              <w:rPr>
                <w:rFonts w:ascii="Arial" w:hAnsi="Arial" w:cs="Arial"/>
                <w:sz w:val="21"/>
                <w:szCs w:val="21"/>
              </w:rPr>
            </w:pPr>
          </w:p>
        </w:tc>
        <w:tc>
          <w:tcPr>
            <w:tcW w:w="5131" w:type="dxa"/>
          </w:tcPr>
          <w:p>
            <w:pPr>
              <w:pStyle w:val="3"/>
              <w:widowControl w:val="0"/>
              <w:spacing w:after="120"/>
              <w:ind w:left="0"/>
              <w:rPr>
                <w:rFonts w:ascii="Arial" w:hAnsi="Arial" w:cs="Arial"/>
                <w:i/>
                <w:iCs/>
                <w:sz w:val="21"/>
                <w:szCs w:val="21"/>
              </w:rPr>
            </w:pPr>
            <w:r>
              <w:rPr>
                <w:rFonts w:ascii="Arial" w:hAnsi="Arial" w:cs="Arial"/>
                <w:sz w:val="21"/>
                <w:szCs w:val="21"/>
              </w:rPr>
              <w:t>[</w:t>
            </w:r>
            <w:r>
              <w:rPr>
                <w:rFonts w:ascii="Arial" w:hAnsi="Arial" w:cs="Arial"/>
                <w:b/>
                <w:i/>
                <w:sz w:val="21"/>
                <w:szCs w:val="21"/>
              </w:rPr>
              <w:t>Lindung nilai lainnya</w:t>
            </w:r>
          </w:p>
        </w:tc>
      </w:tr>
      <w:tr>
        <w:tblPrEx>
          <w:tblCellMar>
            <w:top w:w="0" w:type="dxa"/>
            <w:left w:w="108" w:type="dxa"/>
            <w:bottom w:w="0" w:type="dxa"/>
            <w:right w:w="108" w:type="dxa"/>
          </w:tblCellMar>
        </w:tblPrEx>
        <w:tc>
          <w:tcPr>
            <w:tcW w:w="3536" w:type="dxa"/>
          </w:tcPr>
          <w:p>
            <w:pPr>
              <w:pStyle w:val="3"/>
              <w:widowControl w:val="0"/>
              <w:spacing w:after="120"/>
              <w:ind w:left="0"/>
              <w:rPr>
                <w:rFonts w:ascii="Arial" w:hAnsi="Arial" w:cs="Arial"/>
                <w:sz w:val="21"/>
                <w:szCs w:val="21"/>
              </w:rPr>
            </w:pPr>
          </w:p>
        </w:tc>
        <w:tc>
          <w:tcPr>
            <w:tcW w:w="5131" w:type="dxa"/>
          </w:tcPr>
          <w:p>
            <w:pPr>
              <w:pStyle w:val="3"/>
              <w:widowControl w:val="0"/>
              <w:spacing w:after="120"/>
              <w:ind w:left="0"/>
              <w:rPr>
                <w:rFonts w:ascii="Arial" w:hAnsi="Arial" w:cs="Arial"/>
                <w:sz w:val="21"/>
                <w:szCs w:val="21"/>
              </w:rPr>
            </w:pPr>
            <w:r>
              <w:rPr>
                <w:rFonts w:ascii="Arial" w:hAnsi="Arial" w:cs="Arial"/>
                <w:sz w:val="21"/>
                <w:szCs w:val="21"/>
              </w:rPr>
              <w:t>Perusahaan Proyek akan melaksanakan transaksi-transaksi untuk memberikan lindung nilai kepada:</w:t>
            </w:r>
          </w:p>
        </w:tc>
      </w:tr>
      <w:tr>
        <w:tblPrEx>
          <w:tblCellMar>
            <w:top w:w="0" w:type="dxa"/>
            <w:left w:w="108" w:type="dxa"/>
            <w:bottom w:w="0" w:type="dxa"/>
            <w:right w:w="108" w:type="dxa"/>
          </w:tblCellMar>
        </w:tblPrEx>
        <w:tc>
          <w:tcPr>
            <w:tcW w:w="3536" w:type="dxa"/>
          </w:tcPr>
          <w:p>
            <w:pPr>
              <w:pStyle w:val="3"/>
              <w:widowControl w:val="0"/>
              <w:spacing w:after="120"/>
              <w:ind w:left="0"/>
              <w:rPr>
                <w:rFonts w:ascii="Arial" w:hAnsi="Arial" w:cs="Arial"/>
                <w:sz w:val="21"/>
                <w:szCs w:val="21"/>
              </w:rPr>
            </w:pPr>
          </w:p>
        </w:tc>
        <w:tc>
          <w:tcPr>
            <w:tcW w:w="5131" w:type="dxa"/>
          </w:tcPr>
          <w:p>
            <w:pPr>
              <w:pStyle w:val="99"/>
              <w:numPr>
                <w:ilvl w:val="4"/>
                <w:numId w:val="26"/>
              </w:numPr>
              <w:tabs>
                <w:tab w:val="clear" w:pos="72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mata uang</w:t>
            </w:r>
            <w:r>
              <w:rPr>
                <w:rFonts w:ascii="Arial" w:hAnsi="Arial" w:cs="Arial"/>
                <w:sz w:val="21"/>
                <w:szCs w:val="21"/>
              </w:rPr>
              <w:t xml:space="preserve">]; dan </w:t>
            </w:r>
          </w:p>
        </w:tc>
      </w:tr>
      <w:tr>
        <w:tblPrEx>
          <w:tblCellMar>
            <w:top w:w="0" w:type="dxa"/>
            <w:left w:w="108" w:type="dxa"/>
            <w:bottom w:w="0" w:type="dxa"/>
            <w:right w:w="108" w:type="dxa"/>
          </w:tblCellMar>
        </w:tblPrEx>
        <w:tc>
          <w:tcPr>
            <w:tcW w:w="3536" w:type="dxa"/>
          </w:tcPr>
          <w:p>
            <w:pPr>
              <w:pStyle w:val="3"/>
              <w:widowControl w:val="0"/>
              <w:spacing w:after="120"/>
              <w:ind w:left="0"/>
              <w:rPr>
                <w:rFonts w:ascii="Arial" w:hAnsi="Arial" w:cs="Arial"/>
                <w:sz w:val="21"/>
                <w:szCs w:val="21"/>
              </w:rPr>
            </w:pPr>
          </w:p>
        </w:tc>
        <w:tc>
          <w:tcPr>
            <w:tcW w:w="5131" w:type="dxa"/>
          </w:tcPr>
          <w:p>
            <w:pPr>
              <w:pStyle w:val="99"/>
              <w:tabs>
                <w:tab w:val="clear" w:pos="72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harga-harga komoditas</w:t>
            </w:r>
            <w:r>
              <w:rPr>
                <w:rFonts w:ascii="Arial" w:hAnsi="Arial" w:cs="Arial"/>
                <w:sz w:val="21"/>
                <w:szCs w:val="21"/>
              </w:rPr>
              <w:t>].</w:t>
            </w:r>
          </w:p>
        </w:tc>
      </w:tr>
      <w:tr>
        <w:tblPrEx>
          <w:tblCellMar>
            <w:top w:w="0" w:type="dxa"/>
            <w:left w:w="108" w:type="dxa"/>
            <w:bottom w:w="0" w:type="dxa"/>
            <w:right w:w="108" w:type="dxa"/>
          </w:tblCellMar>
        </w:tblPrEx>
        <w:tc>
          <w:tcPr>
            <w:tcW w:w="3536" w:type="dxa"/>
          </w:tcPr>
          <w:p>
            <w:pPr>
              <w:pStyle w:val="3"/>
              <w:widowControl w:val="0"/>
              <w:spacing w:after="120"/>
              <w:ind w:left="0"/>
              <w:rPr>
                <w:rFonts w:ascii="Arial" w:hAnsi="Arial" w:cs="Arial"/>
                <w:sz w:val="21"/>
                <w:szCs w:val="21"/>
              </w:rPr>
            </w:pPr>
          </w:p>
        </w:tc>
        <w:tc>
          <w:tcPr>
            <w:tcW w:w="5131" w:type="dxa"/>
          </w:tcPr>
          <w:p>
            <w:pPr>
              <w:pStyle w:val="3"/>
              <w:widowControl w:val="0"/>
              <w:spacing w:after="120"/>
              <w:ind w:left="0"/>
              <w:rPr>
                <w:rFonts w:ascii="Arial" w:hAnsi="Arial" w:cs="Arial"/>
                <w:sz w:val="21"/>
                <w:szCs w:val="21"/>
              </w:rPr>
            </w:pPr>
            <w:r>
              <w:rPr>
                <w:rFonts w:ascii="Arial" w:hAnsi="Arial" w:cs="Arial"/>
                <w:sz w:val="21"/>
                <w:szCs w:val="21"/>
              </w:rPr>
              <w:t xml:space="preserve">Strategi Lindung Nilai yang akan disepakati dengan [Para </w:t>
            </w:r>
            <w:r>
              <w:rPr>
                <w:rFonts w:ascii="Arial" w:hAnsi="Arial" w:cs="Arial"/>
                <w:i/>
                <w:sz w:val="21"/>
                <w:szCs w:val="21"/>
              </w:rPr>
              <w:t>Mandated Lead Arranger</w:t>
            </w:r>
            <w:r>
              <w:rPr>
                <w:rFonts w:ascii="Arial" w:hAnsi="Arial" w:cs="Arial"/>
                <w:sz w:val="21"/>
                <w:szCs w:val="21"/>
              </w:rPr>
              <w:t>/Para Kreditur] sebelum Tanggal Penandatanganan.]</w:t>
            </w:r>
          </w:p>
        </w:tc>
      </w:tr>
    </w:tbl>
    <w:p>
      <w:pPr>
        <w:spacing w:after="120"/>
        <w:jc w:val="left"/>
        <w:rPr>
          <w:rFonts w:ascii="Arial" w:hAnsi="Arial" w:cs="Arial"/>
          <w:b/>
          <w:caps/>
          <w:sz w:val="21"/>
          <w:szCs w:val="21"/>
        </w:rPr>
      </w:pPr>
      <w:r>
        <w:rPr>
          <w:rFonts w:ascii="Arial" w:hAnsi="Arial" w:cs="Arial"/>
          <w:sz w:val="21"/>
          <w:szCs w:val="21"/>
        </w:rPr>
        <w:br w:type="page"/>
      </w:r>
    </w:p>
    <w:p>
      <w:pPr>
        <w:pStyle w:val="107"/>
        <w:pageBreakBefore/>
        <w:spacing w:after="120"/>
        <w:rPr>
          <w:rFonts w:ascii="Arial" w:hAnsi="Arial" w:cs="Arial"/>
          <w:sz w:val="21"/>
          <w:szCs w:val="21"/>
        </w:rPr>
      </w:pPr>
      <w:bookmarkStart w:id="97" w:name="_Toc74557535"/>
      <w:bookmarkStart w:id="98" w:name="_Toc74860681"/>
      <w:r>
        <w:rPr>
          <w:rFonts w:ascii="Arial" w:hAnsi="Arial" w:cs="Arial"/>
          <w:sz w:val="21"/>
          <w:szCs w:val="21"/>
        </w:rPr>
        <w:t>KETENTUAN-KETENTUAN LAIN</w:t>
      </w:r>
      <w:bookmarkEnd w:id="97"/>
      <w:bookmarkEnd w:id="98"/>
    </w:p>
    <w:tbl>
      <w:tblPr>
        <w:tblStyle w:val="17"/>
        <w:tblW w:w="5000" w:type="pct"/>
        <w:tblInd w:w="0" w:type="dxa"/>
        <w:tblLayout w:type="fixed"/>
        <w:tblCellMar>
          <w:top w:w="0" w:type="dxa"/>
          <w:left w:w="108" w:type="dxa"/>
          <w:bottom w:w="0" w:type="dxa"/>
          <w:right w:w="108" w:type="dxa"/>
        </w:tblCellMar>
      </w:tblPr>
      <w:tblGrid>
        <w:gridCol w:w="3619"/>
        <w:gridCol w:w="5264"/>
      </w:tblGrid>
      <w:tr>
        <w:tblPrEx>
          <w:tblCellMar>
            <w:top w:w="0" w:type="dxa"/>
            <w:left w:w="108" w:type="dxa"/>
            <w:bottom w:w="0" w:type="dxa"/>
            <w:right w:w="108" w:type="dxa"/>
          </w:tblCellMar>
        </w:tblPrEx>
        <w:tc>
          <w:tcPr>
            <w:tcW w:w="3531" w:type="dxa"/>
          </w:tcPr>
          <w:p>
            <w:pPr>
              <w:pStyle w:val="105"/>
              <w:tabs>
                <w:tab w:val="clear" w:pos="720"/>
              </w:tabs>
              <w:spacing w:after="120"/>
              <w:jc w:val="both"/>
              <w:rPr>
                <w:rFonts w:ascii="Arial" w:hAnsi="Arial" w:cs="Arial"/>
                <w:b w:val="0"/>
                <w:sz w:val="21"/>
                <w:szCs w:val="21"/>
              </w:rPr>
            </w:pPr>
            <w:bookmarkStart w:id="99" w:name="_Toc74860682"/>
            <w:bookmarkStart w:id="100" w:name="_Toc74557536"/>
            <w:r>
              <w:rPr>
                <w:rFonts w:ascii="Arial" w:hAnsi="Arial" w:cs="Arial"/>
                <w:sz w:val="21"/>
                <w:szCs w:val="21"/>
              </w:rPr>
              <w:t>Dokumen</w:t>
            </w:r>
            <w:r>
              <w:rPr>
                <w:rFonts w:ascii="Arial" w:hAnsi="Arial" w:cs="Arial"/>
                <w:sz w:val="21"/>
                <w:szCs w:val="21"/>
                <w:lang w:val="en-US"/>
              </w:rPr>
              <w:t>-dokumen</w:t>
            </w:r>
            <w:r>
              <w:rPr>
                <w:rFonts w:ascii="Arial" w:hAnsi="Arial" w:cs="Arial"/>
                <w:sz w:val="21"/>
                <w:szCs w:val="21"/>
              </w:rPr>
              <w:t>:</w:t>
            </w:r>
            <w:bookmarkEnd w:id="99"/>
            <w:bookmarkEnd w:id="100"/>
          </w:p>
        </w:tc>
        <w:tc>
          <w:tcPr>
            <w:tcW w:w="5136" w:type="dxa"/>
          </w:tcPr>
          <w:p>
            <w:pPr>
              <w:widowControl w:val="0"/>
              <w:spacing w:after="120"/>
              <w:rPr>
                <w:rFonts w:ascii="Arial" w:hAnsi="Arial" w:cs="Arial"/>
                <w:b/>
                <w:bCs/>
                <w:sz w:val="21"/>
                <w:szCs w:val="21"/>
              </w:rPr>
            </w:pPr>
            <w:r>
              <w:rPr>
                <w:rFonts w:ascii="Arial" w:hAnsi="Arial" w:cs="Arial"/>
                <w:sz w:val="21"/>
                <w:szCs w:val="21"/>
              </w:rPr>
              <w:t xml:space="preserve">Fasilitas[fasilitas] akan diberikan berdasarkan suatu perjanjian ketentuan umum sesuai dengan format [Perjanjian Ketentuan Umum Infrastruktur Asia] yang ada saat ini, yang diperbarui untuk mencerminkan setiap perubahan dalam praktik pasar untuk pinjaman sindikasi secara umum, dan perjanjian terkait satu atau lebih fasilitas[-fasilitas], dan dokumen-dokumen pembiayaan lainnya, dalam setiap hal dalam </w:t>
            </w:r>
            <w:r>
              <w:rPr>
                <w:rFonts w:ascii="Arial" w:hAnsi="Arial" w:cs="Arial"/>
                <w:sz w:val="21"/>
                <w:szCs w:val="21"/>
                <w:lang w:val="en-US"/>
              </w:rPr>
              <w:t xml:space="preserve">format </w:t>
            </w:r>
            <w:r>
              <w:rPr>
                <w:rFonts w:ascii="Arial" w:hAnsi="Arial" w:cs="Arial"/>
                <w:sz w:val="21"/>
                <w:szCs w:val="21"/>
              </w:rPr>
              <w:t xml:space="preserve">dan substansi yang dapat diterima oleh [[Para] </w:t>
            </w:r>
            <w:r>
              <w:rPr>
                <w:rFonts w:ascii="Arial" w:hAnsi="Arial" w:cs="Arial"/>
                <w:i/>
                <w:sz w:val="21"/>
                <w:szCs w:val="21"/>
              </w:rPr>
              <w:t>Mandated Lead Arranger</w:t>
            </w:r>
            <w:r>
              <w:rPr>
                <w:rFonts w:ascii="Arial" w:hAnsi="Arial" w:cs="Arial"/>
                <w:sz w:val="21"/>
                <w:szCs w:val="21"/>
              </w:rPr>
              <w:t>]] [dan [Para] Kreditur]].</w:t>
            </w:r>
          </w:p>
        </w:tc>
      </w:tr>
      <w:tr>
        <w:tblPrEx>
          <w:tblCellMar>
            <w:top w:w="0" w:type="dxa"/>
            <w:left w:w="108" w:type="dxa"/>
            <w:bottom w:w="0" w:type="dxa"/>
            <w:right w:w="108" w:type="dxa"/>
          </w:tblCellMar>
        </w:tblPrEx>
        <w:tc>
          <w:tcPr>
            <w:tcW w:w="3531" w:type="dxa"/>
          </w:tcPr>
          <w:p>
            <w:pPr>
              <w:pStyle w:val="105"/>
              <w:tabs>
                <w:tab w:val="clear" w:pos="720"/>
              </w:tabs>
              <w:spacing w:after="120"/>
              <w:jc w:val="both"/>
              <w:rPr>
                <w:rFonts w:ascii="Arial" w:hAnsi="Arial" w:cs="Arial"/>
                <w:b w:val="0"/>
                <w:sz w:val="21"/>
                <w:szCs w:val="21"/>
              </w:rPr>
            </w:pPr>
            <w:bookmarkStart w:id="101" w:name="_Toc74860683"/>
            <w:bookmarkStart w:id="102" w:name="_Toc74557537"/>
            <w:r>
              <w:rPr>
                <w:rFonts w:ascii="Arial" w:hAnsi="Arial" w:cs="Arial"/>
                <w:sz w:val="21"/>
                <w:szCs w:val="21"/>
              </w:rPr>
              <w:t>Percepatan Pelunasan dan Pembatalan:</w:t>
            </w:r>
            <w:bookmarkEnd w:id="101"/>
            <w:bookmarkEnd w:id="102"/>
          </w:p>
        </w:tc>
        <w:tc>
          <w:tcPr>
            <w:tcW w:w="5136" w:type="dxa"/>
          </w:tcPr>
          <w:p>
            <w:pPr>
              <w:pStyle w:val="103"/>
              <w:tabs>
                <w:tab w:val="clear" w:pos="766"/>
              </w:tabs>
              <w:spacing w:after="120"/>
              <w:ind w:left="720" w:hanging="720"/>
              <w:rPr>
                <w:rFonts w:ascii="Arial" w:hAnsi="Arial" w:cs="Arial"/>
                <w:b/>
                <w:sz w:val="21"/>
                <w:szCs w:val="21"/>
              </w:rPr>
            </w:pPr>
            <w:r>
              <w:rPr>
                <w:rFonts w:ascii="Arial" w:hAnsi="Arial" w:cs="Arial"/>
                <w:b/>
                <w:sz w:val="21"/>
                <w:szCs w:val="21"/>
              </w:rPr>
              <w:t>Pelanggaran Hukum</w:t>
            </w:r>
          </w:p>
          <w:p>
            <w:pPr>
              <w:pStyle w:val="3"/>
              <w:widowControl w:val="0"/>
              <w:spacing w:after="120"/>
              <w:ind w:left="720"/>
              <w:rPr>
                <w:rFonts w:ascii="Arial" w:hAnsi="Arial" w:cs="Arial"/>
                <w:sz w:val="21"/>
                <w:szCs w:val="21"/>
              </w:rPr>
            </w:pPr>
            <w:r>
              <w:rPr>
                <w:rFonts w:ascii="Arial" w:hAnsi="Arial" w:cs="Arial"/>
                <w:sz w:val="21"/>
                <w:szCs w:val="21"/>
              </w:rPr>
              <w:t xml:space="preserve">Apabila dilaksanakannya kewajiban-kewajiban Kreditur untuk mendanai atau mempertahankan partisipasinya [merupakan atau akan menjadi][menjadi] pelanggaran hukum dalam yurisdiksi manapun yang berwenang, maka Kreditur yang bersangkutan harus segera menyampaikan pemberitahuan kepada Agen </w:t>
            </w:r>
            <w:r>
              <w:rPr>
                <w:rFonts w:ascii="Arial" w:hAnsi="Arial" w:cs="Arial"/>
                <w:sz w:val="21"/>
                <w:szCs w:val="21"/>
                <w:lang w:val="en-US"/>
              </w:rPr>
              <w:t>Antarkreditur</w:t>
            </w:r>
            <w:r>
              <w:rPr>
                <w:rFonts w:ascii="Arial" w:hAnsi="Arial" w:cs="Arial"/>
                <w:sz w:val="21"/>
                <w:szCs w:val="21"/>
              </w:rPr>
              <w:t xml:space="preserve"> mengenai pelanggaran hukum tersebut, dan setelah Agen </w:t>
            </w:r>
            <w:r>
              <w:rPr>
                <w:rFonts w:ascii="Arial" w:hAnsi="Arial" w:cs="Arial"/>
                <w:sz w:val="21"/>
                <w:szCs w:val="21"/>
                <w:lang w:val="en-US"/>
              </w:rPr>
              <w:t>Antarkreditur</w:t>
            </w:r>
            <w:r>
              <w:rPr>
                <w:rFonts w:ascii="Arial" w:hAnsi="Arial" w:cs="Arial"/>
                <w:sz w:val="21"/>
                <w:szCs w:val="21"/>
              </w:rPr>
              <w:t xml:space="preserve"> memberitahukan kepada Perusahaan Proyek mengenai pelanggaran hukum tersebut, Komitmen yang diberikan oleh Kreditur tersebut akan segera dibatalkan dan partisipasinya dalam Pinjaman-pinjaman akan dikenakan percepatan pelunasan (dengan ketentuan partisipasi tersebut belum dialihkan sesuai dengan ketentuan-ketentuan Perjanjian).</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103"/>
              <w:tabs>
                <w:tab w:val="clear" w:pos="766"/>
              </w:tabs>
              <w:spacing w:after="120"/>
              <w:ind w:left="720" w:hanging="720"/>
              <w:rPr>
                <w:rFonts w:ascii="Arial" w:hAnsi="Arial" w:cs="Arial"/>
                <w:sz w:val="21"/>
                <w:szCs w:val="21"/>
              </w:rPr>
            </w:pPr>
            <w:r>
              <w:rPr>
                <w:rFonts w:ascii="Arial" w:hAnsi="Arial" w:cs="Arial"/>
                <w:b/>
                <w:sz w:val="21"/>
                <w:szCs w:val="21"/>
              </w:rPr>
              <w:t xml:space="preserve">Peningkatan Biaya-biaya, </w:t>
            </w:r>
            <w:r>
              <w:rPr>
                <w:rFonts w:ascii="Arial" w:hAnsi="Arial" w:cs="Arial"/>
                <w:b/>
                <w:i/>
                <w:iCs/>
                <w:sz w:val="21"/>
                <w:szCs w:val="21"/>
              </w:rPr>
              <w:t>T</w:t>
            </w:r>
            <w:r>
              <w:rPr>
                <w:rFonts w:ascii="Arial" w:hAnsi="Arial" w:cs="Arial"/>
                <w:b/>
                <w:i/>
                <w:iCs/>
                <w:sz w:val="21"/>
                <w:szCs w:val="21"/>
                <w:lang w:val="en-US"/>
              </w:rPr>
              <w:t>ax Gross Up</w:t>
            </w:r>
            <w:r>
              <w:rPr>
                <w:rFonts w:ascii="Arial" w:hAnsi="Arial" w:cs="Arial"/>
                <w:b/>
                <w:sz w:val="21"/>
                <w:szCs w:val="21"/>
                <w:lang w:val="en-US"/>
              </w:rPr>
              <w:t xml:space="preserve"> </w:t>
            </w:r>
            <w:r>
              <w:rPr>
                <w:rFonts w:ascii="Arial" w:hAnsi="Arial" w:cs="Arial"/>
                <w:b/>
                <w:sz w:val="21"/>
                <w:szCs w:val="21"/>
              </w:rPr>
              <w:t xml:space="preserve">dan Indemnitas Pajak </w:t>
            </w:r>
          </w:p>
          <w:p>
            <w:pPr>
              <w:pStyle w:val="3"/>
              <w:widowControl w:val="0"/>
              <w:spacing w:after="120"/>
              <w:ind w:left="720"/>
              <w:rPr>
                <w:rFonts w:ascii="Arial" w:hAnsi="Arial" w:cs="Arial"/>
                <w:sz w:val="21"/>
                <w:szCs w:val="21"/>
              </w:rPr>
            </w:pPr>
            <w:r>
              <w:rPr>
                <w:rFonts w:ascii="Arial" w:hAnsi="Arial" w:cs="Arial"/>
                <w:sz w:val="21"/>
                <w:szCs w:val="21"/>
              </w:rPr>
              <w:t xml:space="preserve">Perusahaan Proyek dapat membatalkan Komitmen dan melakukan percepatan pelunasan kepada Kreditur manapun yang mengajukan suatu gugatan berdasarkan salah satu dari ketentuan-ketentuan ini jika Perusahaan Proyek telah membuktikan kepada Agen </w:t>
            </w:r>
            <w:r>
              <w:rPr>
                <w:rFonts w:ascii="Arial" w:hAnsi="Arial" w:cs="Arial"/>
                <w:sz w:val="21"/>
                <w:szCs w:val="21"/>
                <w:lang w:val="en-US"/>
              </w:rPr>
              <w:t>Antarkreditur</w:t>
            </w:r>
            <w:r>
              <w:rPr>
                <w:rFonts w:ascii="Arial" w:hAnsi="Arial" w:cs="Arial"/>
                <w:sz w:val="21"/>
                <w:szCs w:val="21"/>
              </w:rPr>
              <w:t xml:space="preserve"> secara memuaskan bahwa, segera setelah pembatalan dan percepatan pelunasan tersebut:</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tidak akan ada Kekurangan Pendanaan</w:t>
            </w:r>
            <w:r>
              <w:rPr>
                <w:rStyle w:val="25"/>
                <w:rFonts w:ascii="Arial" w:hAnsi="Arial" w:cs="Arial"/>
                <w:sz w:val="21"/>
                <w:szCs w:val="21"/>
              </w:rPr>
              <w:footnoteReference w:id="77"/>
            </w:r>
            <w:r>
              <w:rPr>
                <w:rFonts w:ascii="Arial" w:hAnsi="Arial" w:cs="Arial"/>
                <w:sz w:val="21"/>
                <w:szCs w:val="21"/>
              </w:rPr>
              <w:t xml:space="preserve">; </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Tanggal Penyelesaian Proyek akan terjadi pada atau sebelum [Tanggal Penyelesaian Proyek Terjadwal]; dan</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tidak ada Cedera Janji yang berlanjut atau akan timbul sebagai akibat dari pembatalan dan percepatan pelunasan tersebut.</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 xml:space="preserve">Percepatan </w:t>
            </w:r>
            <w:r>
              <w:rPr>
                <w:rFonts w:ascii="Arial" w:hAnsi="Arial" w:cs="Arial"/>
                <w:b/>
                <w:sz w:val="21"/>
                <w:szCs w:val="21"/>
              </w:rPr>
              <w:t>Pelunasan</w:t>
            </w:r>
            <w:r>
              <w:rPr>
                <w:rFonts w:ascii="Arial" w:hAnsi="Arial" w:cs="Arial"/>
                <w:b/>
                <w:bCs/>
                <w:sz w:val="21"/>
                <w:szCs w:val="21"/>
              </w:rPr>
              <w:t xml:space="preserve"> Wajib</w:t>
            </w:r>
          </w:p>
        </w:tc>
      </w:tr>
      <w:tr>
        <w:tblPrEx>
          <w:tblCellMar>
            <w:top w:w="0" w:type="dxa"/>
            <w:left w:w="108" w:type="dxa"/>
            <w:bottom w:w="0" w:type="dxa"/>
            <w:right w:w="108" w:type="dxa"/>
          </w:tblCellMar>
        </w:tblPrEx>
        <w:tc>
          <w:tcPr>
            <w:tcW w:w="3531" w:type="dxa"/>
          </w:tcPr>
          <w:p>
            <w:pPr>
              <w:pStyle w:val="103"/>
              <w:numPr>
                <w:ilvl w:val="0"/>
                <w:numId w:val="0"/>
              </w:numPr>
              <w:tabs>
                <w:tab w:val="clear" w:pos="766"/>
              </w:tabs>
              <w:spacing w:after="120"/>
              <w:rPr>
                <w:rFonts w:ascii="Arial" w:hAnsi="Arial" w:cs="Arial"/>
                <w:sz w:val="21"/>
                <w:szCs w:val="21"/>
              </w:rPr>
            </w:pPr>
          </w:p>
        </w:tc>
        <w:tc>
          <w:tcPr>
            <w:tcW w:w="5136" w:type="dxa"/>
          </w:tcPr>
          <w:p>
            <w:pPr>
              <w:pStyle w:val="3"/>
              <w:widowControl w:val="0"/>
              <w:spacing w:after="120"/>
              <w:ind w:left="720"/>
              <w:rPr>
                <w:rFonts w:ascii="Arial" w:hAnsi="Arial" w:cs="Arial"/>
                <w:sz w:val="21"/>
                <w:szCs w:val="21"/>
              </w:rPr>
            </w:pPr>
            <w:r>
              <w:rPr>
                <w:rFonts w:ascii="Arial" w:hAnsi="Arial" w:cs="Arial"/>
                <w:sz w:val="21"/>
                <w:szCs w:val="21"/>
              </w:rPr>
              <w:t>Perusahaan Proyek harus menggunakan:</w:t>
            </w:r>
            <w:bookmarkStart w:id="103" w:name="_9kP4WSt67348AFJKM"/>
            <w:bookmarkStart w:id="104" w:name="_9kR3WTr6734CHIJKM"/>
            <w:r>
              <w:rPr>
                <w:rStyle w:val="25"/>
                <w:rFonts w:ascii="Arial" w:hAnsi="Arial" w:cs="Arial"/>
                <w:sz w:val="21"/>
                <w:szCs w:val="21"/>
              </w:rPr>
              <w:footnoteReference w:id="78"/>
            </w:r>
            <w:r>
              <w:rPr>
                <w:rStyle w:val="25"/>
                <w:rFonts w:ascii="Arial" w:hAnsi="Arial" w:cs="Arial"/>
                <w:sz w:val="21"/>
                <w:szCs w:val="21"/>
              </w:rPr>
              <w:t xml:space="preserve"> </w:t>
            </w:r>
            <w:r>
              <w:rPr>
                <w:rStyle w:val="25"/>
                <w:rFonts w:ascii="Arial" w:hAnsi="Arial" w:cs="Arial"/>
                <w:sz w:val="21"/>
                <w:szCs w:val="21"/>
              </w:rPr>
              <w:footnoteReference w:id="79"/>
            </w:r>
            <w:bookmarkEnd w:id="103"/>
            <w:bookmarkEnd w:id="104"/>
          </w:p>
        </w:tc>
      </w:tr>
      <w:tr>
        <w:tblPrEx>
          <w:tblCellMar>
            <w:top w:w="0" w:type="dxa"/>
            <w:left w:w="108" w:type="dxa"/>
            <w:bottom w:w="0" w:type="dxa"/>
            <w:right w:w="108" w:type="dxa"/>
          </w:tblCellMar>
        </w:tblPrEx>
        <w:tc>
          <w:tcPr>
            <w:tcW w:w="3531" w:type="dxa"/>
          </w:tcPr>
          <w:p>
            <w:pPr>
              <w:pStyle w:val="103"/>
              <w:numPr>
                <w:ilvl w:val="0"/>
                <w:numId w:val="0"/>
              </w:numPr>
              <w:tabs>
                <w:tab w:val="clear" w:pos="766"/>
              </w:tabs>
              <w:spacing w:after="120"/>
              <w:rPr>
                <w:rFonts w:ascii="Arial" w:hAnsi="Arial" w:cs="Arial"/>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semua hasil klaim asuransi-asuransi terkait risiko kehilangan secara fisik atau kerusakan, baik yang (1) tidak dapat digunakan untuk memperbaiki atau memulihkan aset yang hilang atau rusak ataupun (2) melebihi biaya perbaikan atau pemulihan tersebut sesuai dengan "Hasil-hasil Klaim Asuransi" dan Ganti Rugi Yang Ditetapkan Nilainya Atas Kegagalan Kinerja" di bawah ini untuk mengembalikan Rasio-rasio menjadi, sekurang-kurangnya [</w:t>
            </w:r>
            <w:r>
              <w:rPr>
                <w:rFonts w:ascii="Arial" w:hAnsi="Arial" w:cs="Arial"/>
                <w:i/>
                <w:sz w:val="21"/>
                <w:szCs w:val="21"/>
              </w:rPr>
              <w:t>masukkan tingkat-tingkat rasio yang disyaratkan</w:t>
            </w:r>
            <w:r>
              <w:rPr>
                <w:rFonts w:ascii="Arial" w:hAnsi="Arial" w:cs="Arial"/>
                <w:sz w:val="21"/>
                <w:szCs w:val="21"/>
              </w:rPr>
              <w:t>][tingkat-tingkat rasio yang disyaratkan pada saat Pemenuhan Pembiayaan]</w:t>
            </w:r>
            <w:r>
              <w:rPr>
                <w:rStyle w:val="25"/>
                <w:rFonts w:ascii="Arial" w:hAnsi="Arial" w:cs="Arial"/>
                <w:sz w:val="21"/>
                <w:szCs w:val="21"/>
              </w:rPr>
              <w:footnoteReference w:id="80"/>
            </w:r>
            <w:r>
              <w:rPr>
                <w:rFonts w:ascii="Arial" w:hAnsi="Arial" w:cs="Arial"/>
                <w:sz w:val="21"/>
                <w:szCs w:val="21"/>
              </w:rPr>
              <w:t>;</w:t>
            </w:r>
          </w:p>
        </w:tc>
      </w:tr>
      <w:tr>
        <w:tblPrEx>
          <w:tblCellMar>
            <w:top w:w="0" w:type="dxa"/>
            <w:left w:w="108" w:type="dxa"/>
            <w:bottom w:w="0" w:type="dxa"/>
            <w:right w:w="108" w:type="dxa"/>
          </w:tblCellMar>
        </w:tblPrEx>
        <w:tc>
          <w:tcPr>
            <w:tcW w:w="3531" w:type="dxa"/>
          </w:tcPr>
          <w:p>
            <w:pPr>
              <w:pStyle w:val="103"/>
              <w:numPr>
                <w:ilvl w:val="0"/>
                <w:numId w:val="0"/>
              </w:numPr>
              <w:tabs>
                <w:tab w:val="clear" w:pos="766"/>
              </w:tabs>
              <w:spacing w:after="120"/>
              <w:rPr>
                <w:rFonts w:ascii="Arial" w:hAnsi="Arial" w:cs="Arial"/>
                <w:sz w:val="21"/>
                <w:szCs w:val="21"/>
              </w:rPr>
            </w:pPr>
          </w:p>
        </w:tc>
        <w:tc>
          <w:tcPr>
            <w:tcW w:w="5136" w:type="dxa"/>
          </w:tcPr>
          <w:p>
            <w:pPr>
              <w:pStyle w:val="99"/>
              <w:tabs>
                <w:tab w:val="clear" w:pos="720"/>
              </w:tabs>
              <w:spacing w:after="120"/>
              <w:ind w:left="1440"/>
              <w:rPr>
                <w:rFonts w:ascii="Arial" w:hAnsi="Arial" w:cs="Arial"/>
                <w:sz w:val="21"/>
                <w:szCs w:val="21"/>
              </w:rPr>
            </w:pPr>
            <w:bookmarkStart w:id="105" w:name="_Ref42085460"/>
            <w:r>
              <w:rPr>
                <w:rFonts w:ascii="Arial" w:hAnsi="Arial" w:cs="Arial"/>
                <w:sz w:val="21"/>
                <w:szCs w:val="21"/>
              </w:rPr>
              <w:t>semua kompensasi yang diterima oleh Perusahaan Proyek[, Para Sponsor atau Para Pemegang Saham] (kecuali ganti rugi yang ditetapkan nilainya atas kegagalan kinerja) sehubungan dengan (A) penyitaan, akuisisi wajib, nasionalisasi atau pengambilalihan sebagian dari proyek (atau bunga yang timbul darinya) atau modal saham Perusahaan Proyek, (B) klaim-klaim pelanggaran atas jaminan atau ganti rugi yang ditetapkan nilainya (selain ganti rugi yang ditetapkan nilainya atas keterlambatan penyelesaian) yang dibayarkan atau harus dibayarkan oleh Kontraktor Konstruksi, (C) setiap jumlah yang dibayarkan sehubungan dengan pelepasan, perubahan, penangguhan atau penghapusan hak-hak sehubungan dengan sebagian dari Proyek, batasan-batasan apapun yang berdampak pada sebagian dari Proyek atau pemberian hak penggunaan lahan non-pribadi (</w:t>
            </w:r>
            <w:r>
              <w:rPr>
                <w:rFonts w:ascii="Arial" w:hAnsi="Arial" w:cs="Arial"/>
                <w:i/>
                <w:sz w:val="21"/>
                <w:szCs w:val="21"/>
              </w:rPr>
              <w:t>easement rights</w:t>
            </w:r>
            <w:r>
              <w:rPr>
                <w:rFonts w:ascii="Arial" w:hAnsi="Arial" w:cs="Arial"/>
                <w:sz w:val="21"/>
                <w:szCs w:val="21"/>
              </w:rPr>
              <w:t>) dalam Proyek, dan peristiwa-peristiwa serupa lainnya yang diatur dalam Dokumen-dokumen Pembiayaan;</w:t>
            </w:r>
            <w:bookmarkEnd w:id="105"/>
          </w:p>
        </w:tc>
      </w:tr>
      <w:tr>
        <w:tblPrEx>
          <w:tblCellMar>
            <w:top w:w="0" w:type="dxa"/>
            <w:left w:w="108" w:type="dxa"/>
            <w:bottom w:w="0" w:type="dxa"/>
            <w:right w:w="108" w:type="dxa"/>
          </w:tblCellMar>
        </w:tblPrEx>
        <w:tc>
          <w:tcPr>
            <w:tcW w:w="3531" w:type="dxa"/>
          </w:tcPr>
          <w:p>
            <w:pPr>
              <w:pStyle w:val="103"/>
              <w:numPr>
                <w:ilvl w:val="0"/>
                <w:numId w:val="0"/>
              </w:numPr>
              <w:tabs>
                <w:tab w:val="clear" w:pos="766"/>
              </w:tabs>
              <w:spacing w:after="120"/>
              <w:rPr>
                <w:rFonts w:ascii="Arial" w:hAnsi="Arial" w:cs="Arial"/>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semua ganti rugi yang ditetapkan nilainya atas kegagalan kinerja yang diterima oleh Perusahaan Proyek dari [setiap pihak dalam proyek berdasarkan Dokumen Proyek apapun]</w:t>
            </w:r>
            <w:r>
              <w:rPr>
                <w:rStyle w:val="25"/>
                <w:rFonts w:cs="Arial"/>
                <w:sz w:val="21"/>
                <w:szCs w:val="21"/>
              </w:rPr>
              <w:footnoteReference w:id="81"/>
            </w:r>
            <w:r>
              <w:rPr>
                <w:rFonts w:ascii="Arial" w:hAnsi="Arial" w:cs="Arial"/>
                <w:sz w:val="21"/>
                <w:szCs w:val="21"/>
              </w:rPr>
              <w:t xml:space="preserve"> yang (1) tidak digunakan untuk investasi kembali dalam Proyek atau (2) melebihi biaya investasi kembali tersebut sesuai dengan “Hasil-hasil Klaim Asuransi dan Ganti Rugi Yang Ditetapkan Nilainya Atas Kegagalan Kinerja” di bawah ini untuk mengembalikan Rasio-rasio menjadi sekurang-kurangnya [</w:t>
            </w:r>
            <w:r>
              <w:rPr>
                <w:rFonts w:ascii="Arial" w:hAnsi="Arial" w:cs="Arial"/>
                <w:i/>
                <w:sz w:val="21"/>
                <w:szCs w:val="21"/>
              </w:rPr>
              <w:t>masukkan tingkat-tingkat rasio yang disyaratkan</w:t>
            </w:r>
            <w:r>
              <w:rPr>
                <w:rFonts w:ascii="Arial" w:hAnsi="Arial" w:cs="Arial"/>
                <w:sz w:val="21"/>
                <w:szCs w:val="21"/>
              </w:rPr>
              <w:t>][tingkat-tingkat rasio yang disyaratkan pada saat Pemenuhan Pembiayaan] [kecuali ganti rugi yang ditetapkan nilainya atas kegagalan kinerja [harus dibayarkan kepada pihak lain dalam proyek sebagai akibat dari keadaan yang menyebabkan diterimanya pembayaran tersebut oleh Perusahaan Proyek]; [dan]</w:t>
            </w:r>
          </w:p>
        </w:tc>
      </w:tr>
      <w:tr>
        <w:tblPrEx>
          <w:tblCellMar>
            <w:top w:w="0" w:type="dxa"/>
            <w:left w:w="108" w:type="dxa"/>
            <w:bottom w:w="0" w:type="dxa"/>
            <w:right w:w="108" w:type="dxa"/>
          </w:tblCellMar>
        </w:tblPrEx>
        <w:tc>
          <w:tcPr>
            <w:tcW w:w="3531" w:type="dxa"/>
          </w:tcPr>
          <w:p>
            <w:pPr>
              <w:pStyle w:val="103"/>
              <w:numPr>
                <w:ilvl w:val="0"/>
                <w:numId w:val="0"/>
              </w:numPr>
              <w:tabs>
                <w:tab w:val="clear" w:pos="766"/>
              </w:tabs>
              <w:spacing w:after="120"/>
              <w:rPr>
                <w:rFonts w:ascii="Arial" w:hAnsi="Arial" w:cs="Arial"/>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w:t>
            </w:r>
            <w:r>
              <w:rPr>
                <w:rFonts w:ascii="Arial" w:hAnsi="Arial" w:cs="Arial"/>
                <w:i/>
                <w:sz w:val="21"/>
                <w:szCs w:val="21"/>
              </w:rPr>
              <w:t>Sertakan peristiwa-peristiwa percepatan pelunasan wajib lainnya, antara lain Perubahan Kendali</w:t>
            </w:r>
            <w:r>
              <w:rPr>
                <w:rStyle w:val="25"/>
                <w:rFonts w:cs="Arial"/>
                <w:i/>
                <w:sz w:val="21"/>
                <w:szCs w:val="21"/>
              </w:rPr>
              <w:footnoteReference w:id="82"/>
            </w:r>
            <w:r>
              <w:rPr>
                <w:rFonts w:ascii="Arial" w:hAnsi="Arial" w:cs="Arial"/>
                <w:i/>
                <w:sz w:val="21"/>
                <w:szCs w:val="21"/>
              </w:rPr>
              <w:t>, pengasingan-pengasi</w:t>
            </w:r>
            <w:r>
              <w:rPr>
                <w:rFonts w:ascii="Arial" w:hAnsi="Arial" w:cs="Arial"/>
                <w:i/>
                <w:sz w:val="21"/>
                <w:szCs w:val="21"/>
                <w:lang w:val="en-US"/>
              </w:rPr>
              <w:t>n</w:t>
            </w:r>
            <w:r>
              <w:rPr>
                <w:rFonts w:ascii="Arial" w:hAnsi="Arial" w:cs="Arial"/>
                <w:i/>
                <w:sz w:val="21"/>
                <w:szCs w:val="21"/>
              </w:rPr>
              <w:t>gan aset melebihi ambang batas tertentu, peristiwa pengenaan sanksi-sanksi yang bukan merupakan pelanggaran hukum (dan jika ada Fasilitas ECA, hilangnya pertanggungan ECA</w:t>
            </w:r>
            <w:r>
              <w:rPr>
                <w:rFonts w:ascii="Arial" w:hAnsi="Arial" w:cs="Arial"/>
                <w:i/>
                <w:iCs/>
                <w:sz w:val="21"/>
                <w:szCs w:val="21"/>
              </w:rPr>
              <w:t>)</w:t>
            </w:r>
            <w:r>
              <w:rPr>
                <w:rFonts w:ascii="Arial" w:hAnsi="Arial" w:cs="Arial"/>
                <w:sz w:val="21"/>
                <w:szCs w:val="21"/>
              </w:rPr>
              <w:t>],</w:t>
            </w:r>
          </w:p>
        </w:tc>
      </w:tr>
      <w:tr>
        <w:tblPrEx>
          <w:tblCellMar>
            <w:top w:w="0" w:type="dxa"/>
            <w:left w:w="108" w:type="dxa"/>
            <w:bottom w:w="0" w:type="dxa"/>
            <w:right w:w="108" w:type="dxa"/>
          </w:tblCellMar>
        </w:tblPrEx>
        <w:tc>
          <w:tcPr>
            <w:tcW w:w="3531" w:type="dxa"/>
          </w:tcPr>
          <w:p>
            <w:pPr>
              <w:pStyle w:val="103"/>
              <w:numPr>
                <w:ilvl w:val="0"/>
                <w:numId w:val="0"/>
              </w:numPr>
              <w:tabs>
                <w:tab w:val="clear" w:pos="766"/>
              </w:tabs>
              <w:spacing w:after="120"/>
              <w:rPr>
                <w:rFonts w:ascii="Arial" w:hAnsi="Arial" w:cs="Arial"/>
                <w:sz w:val="21"/>
                <w:szCs w:val="21"/>
              </w:rPr>
            </w:pPr>
          </w:p>
        </w:tc>
        <w:tc>
          <w:tcPr>
            <w:tcW w:w="5136" w:type="dxa"/>
          </w:tcPr>
          <w:p>
            <w:pPr>
              <w:pStyle w:val="3"/>
              <w:widowControl w:val="0"/>
              <w:spacing w:after="120"/>
              <w:ind w:left="720"/>
              <w:rPr>
                <w:rFonts w:ascii="Arial" w:hAnsi="Arial" w:cs="Arial"/>
                <w:sz w:val="21"/>
                <w:szCs w:val="21"/>
              </w:rPr>
            </w:pPr>
            <w:r>
              <w:rPr>
                <w:rFonts w:ascii="Arial" w:hAnsi="Arial" w:cs="Arial"/>
                <w:sz w:val="21"/>
                <w:szCs w:val="21"/>
              </w:rPr>
              <w:t>dalam percepatan pelunasan [Fasilitas-fasilitas]</w:t>
            </w:r>
            <w:r>
              <w:rPr>
                <w:rStyle w:val="25"/>
                <w:rFonts w:cs="Arial"/>
                <w:sz w:val="21"/>
                <w:szCs w:val="21"/>
              </w:rPr>
              <w:footnoteReference w:id="83"/>
            </w:r>
            <w:r>
              <w:rPr>
                <w:rFonts w:ascii="Arial" w:hAnsi="Arial" w:cs="Arial"/>
                <w:sz w:val="21"/>
                <w:szCs w:val="21"/>
              </w:rPr>
              <w:t xml:space="preserve"> [, [dalam urutan jatuh tempo secara terbalik (selain yang diatur dalam ketentuan ayat [(iii)]][</w:t>
            </w:r>
            <w:r>
              <w:rPr>
                <w:rFonts w:ascii="Arial" w:hAnsi="Arial" w:cs="Arial"/>
                <w:i/>
                <w:sz w:val="21"/>
                <w:szCs w:val="21"/>
              </w:rPr>
              <w:t>sertakan hal-hal lainnya</w:t>
            </w:r>
            <w:r>
              <w:rPr>
                <w:rFonts w:ascii="Arial" w:hAnsi="Arial" w:cs="Arial"/>
                <w:sz w:val="21"/>
                <w:szCs w:val="21"/>
              </w:rPr>
              <w:t>] di atas, yang akan digunakan secara pro rata terhadap seluruh angsuran yang harus dibayar berdasarkan masing-masing Fasilitas)]</w:t>
            </w:r>
          </w:p>
        </w:tc>
      </w:tr>
      <w:tr>
        <w:tblPrEx>
          <w:tblCellMar>
            <w:top w:w="0" w:type="dxa"/>
            <w:left w:w="108" w:type="dxa"/>
            <w:bottom w:w="0" w:type="dxa"/>
            <w:right w:w="108" w:type="dxa"/>
          </w:tblCellMar>
        </w:tblPrEx>
        <w:tc>
          <w:tcPr>
            <w:tcW w:w="3531" w:type="dxa"/>
          </w:tcPr>
          <w:p>
            <w:pPr>
              <w:pStyle w:val="103"/>
              <w:numPr>
                <w:ilvl w:val="0"/>
                <w:numId w:val="0"/>
              </w:numPr>
              <w:tabs>
                <w:tab w:val="clear" w:pos="766"/>
              </w:tabs>
              <w:spacing w:after="120"/>
              <w:rPr>
                <w:rFonts w:ascii="Arial" w:hAnsi="Arial" w:cs="Arial"/>
                <w:sz w:val="21"/>
                <w:szCs w:val="21"/>
              </w:rPr>
            </w:pPr>
          </w:p>
        </w:tc>
        <w:tc>
          <w:tcPr>
            <w:tcW w:w="5136" w:type="dxa"/>
          </w:tcPr>
          <w:p>
            <w:pPr>
              <w:pStyle w:val="103"/>
              <w:numPr>
                <w:ilvl w:val="0"/>
                <w:numId w:val="0"/>
              </w:numPr>
              <w:tabs>
                <w:tab w:val="clear" w:pos="766"/>
              </w:tabs>
              <w:spacing w:after="120"/>
              <w:ind w:left="720"/>
              <w:rPr>
                <w:rFonts w:ascii="Arial" w:hAnsi="Arial" w:cs="Arial"/>
                <w:sz w:val="21"/>
                <w:szCs w:val="21"/>
              </w:rPr>
            </w:pPr>
            <w:r>
              <w:rPr>
                <w:rFonts w:ascii="Arial" w:hAnsi="Arial" w:cs="Arial"/>
                <w:sz w:val="21"/>
                <w:szCs w:val="21"/>
              </w:rPr>
              <w:t>Setiap percepatan pelunasan harus dilakukan secara bersamaan dengan biaya-biaya pemutusan (jika ada) dan biaya pengakhiran perjanjian-perjanjian lindung nilai (jika disyaratkan untuk memenuhi Strategi Lindung Nilai)</w:t>
            </w:r>
            <w:bookmarkStart w:id="106" w:name="_Ref25690329"/>
            <w:r>
              <w:rPr>
                <w:rFonts w:ascii="Arial" w:hAnsi="Arial" w:cs="Arial"/>
                <w:sz w:val="21"/>
                <w:szCs w:val="21"/>
                <w:vertAlign w:val="superscript"/>
              </w:rPr>
              <w:footnoteReference w:id="84"/>
            </w:r>
            <w:bookmarkEnd w:id="106"/>
            <w:r>
              <w:rPr>
                <w:rFonts w:ascii="Arial" w:hAnsi="Arial" w:cs="Arial"/>
                <w:sz w:val="21"/>
                <w:szCs w:val="21"/>
              </w:rPr>
              <w:t>.</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103"/>
              <w:tabs>
                <w:tab w:val="clear" w:pos="766"/>
              </w:tabs>
              <w:spacing w:after="120"/>
              <w:ind w:left="720" w:hanging="720"/>
              <w:rPr>
                <w:rFonts w:ascii="Arial" w:hAnsi="Arial" w:cs="Arial"/>
                <w:sz w:val="21"/>
                <w:szCs w:val="21"/>
              </w:rPr>
            </w:pPr>
            <w:r>
              <w:rPr>
                <w:rFonts w:ascii="Arial" w:hAnsi="Arial" w:cs="Arial"/>
                <w:b/>
                <w:sz w:val="21"/>
                <w:szCs w:val="21"/>
              </w:rPr>
              <w:t>Pembatalan</w:t>
            </w:r>
            <w:r>
              <w:rPr>
                <w:rFonts w:ascii="Arial" w:hAnsi="Arial" w:cs="Arial"/>
                <w:b/>
                <w:bCs/>
                <w:sz w:val="21"/>
                <w:szCs w:val="21"/>
              </w:rPr>
              <w:t xml:space="preserve"> Sukarela</w:t>
            </w:r>
            <w:r>
              <w:rPr>
                <w:rStyle w:val="25"/>
                <w:rFonts w:ascii="Arial" w:hAnsi="Arial" w:cs="Arial"/>
                <w:sz w:val="21"/>
                <w:szCs w:val="21"/>
              </w:rPr>
              <w:footnoteReference w:id="85"/>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103"/>
              <w:numPr>
                <w:ilvl w:val="0"/>
                <w:numId w:val="0"/>
              </w:numPr>
              <w:tabs>
                <w:tab w:val="clear" w:pos="766"/>
              </w:tabs>
              <w:spacing w:after="120"/>
              <w:ind w:left="720"/>
              <w:rPr>
                <w:rFonts w:ascii="Arial" w:hAnsi="Arial" w:cs="Arial"/>
                <w:bCs/>
                <w:sz w:val="21"/>
                <w:szCs w:val="21"/>
              </w:rPr>
            </w:pPr>
            <w:r>
              <w:rPr>
                <w:rFonts w:ascii="Arial" w:hAnsi="Arial" w:cs="Arial"/>
                <w:sz w:val="21"/>
                <w:szCs w:val="21"/>
              </w:rPr>
              <w:t>Perusahaan Proyek dapat, melalui pemberitahuan yang disampaikan tidak kurang dari [ ] Hari Kerja sebelumnya (atau jangka waktu yang lebih pendek sebagaimana disepakati oleh Para Kreditur Mayoritas), membatalkan seluruh atau sebagian (dengan jumlah minimal [</w:t>
            </w:r>
            <w:r>
              <w:rPr>
                <w:rFonts w:ascii="Arial" w:hAnsi="Arial" w:cs="Arial"/>
                <w:i/>
                <w:sz w:val="21"/>
                <w:szCs w:val="21"/>
              </w:rPr>
              <w:t>masukkan mata uang dasar dan jumlah minimal</w:t>
            </w:r>
            <w:r>
              <w:rPr>
                <w:rFonts w:ascii="Arial" w:hAnsi="Arial" w:cs="Arial"/>
                <w:sz w:val="21"/>
                <w:szCs w:val="21"/>
              </w:rPr>
              <w:t>]) dari [suatu] Fasilitas Yang Tersedia, dengan ketentuan Perusahaan Proyek telah membuktikan kepada Agen Antar</w:t>
            </w:r>
            <w:r>
              <w:rPr>
                <w:rFonts w:ascii="Arial" w:hAnsi="Arial" w:cs="Arial"/>
                <w:sz w:val="21"/>
                <w:szCs w:val="21"/>
                <w:lang w:val="en-US"/>
              </w:rPr>
              <w:t>k</w:t>
            </w:r>
            <w:r>
              <w:rPr>
                <w:rFonts w:ascii="Arial" w:hAnsi="Arial" w:cs="Arial"/>
                <w:sz w:val="21"/>
                <w:szCs w:val="21"/>
              </w:rPr>
              <w:t>redit</w:t>
            </w:r>
            <w:r>
              <w:rPr>
                <w:rFonts w:ascii="Arial" w:hAnsi="Arial" w:cs="Arial"/>
                <w:sz w:val="21"/>
                <w:szCs w:val="21"/>
                <w:lang w:val="en-US"/>
              </w:rPr>
              <w:t>u</w:t>
            </w:r>
            <w:r>
              <w:rPr>
                <w:rFonts w:ascii="Arial" w:hAnsi="Arial" w:cs="Arial"/>
                <w:sz w:val="21"/>
                <w:szCs w:val="21"/>
              </w:rPr>
              <w:t>r secara memuaskan bahwa, segera setelah pembatalan tersebut:</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 xml:space="preserve">tidak akan ada Kekurangan Pendanaan; </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Tanggal Penyelesaian Proyek akan terjadi pada atau sebelum [Tanggal Penyelesaian Proyek Terjadwal]]; dan</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tabs>
                <w:tab w:val="clear" w:pos="720"/>
              </w:tabs>
              <w:spacing w:after="120"/>
              <w:ind w:left="1440"/>
              <w:rPr>
                <w:rFonts w:ascii="Arial" w:hAnsi="Arial" w:cs="Arial"/>
                <w:bCs/>
                <w:sz w:val="21"/>
                <w:szCs w:val="21"/>
              </w:rPr>
            </w:pPr>
            <w:r>
              <w:rPr>
                <w:rFonts w:ascii="Arial" w:hAnsi="Arial" w:cs="Arial"/>
                <w:sz w:val="21"/>
                <w:szCs w:val="21"/>
              </w:rPr>
              <w:t>tidak ada Cedera Janji yang berlanjut atau akan timbul sebagai akibat dari pembatalan tersebut.</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103"/>
              <w:tabs>
                <w:tab w:val="clear" w:pos="766"/>
              </w:tabs>
              <w:spacing w:after="120"/>
              <w:ind w:left="720" w:hanging="720"/>
              <w:rPr>
                <w:rFonts w:ascii="Arial" w:hAnsi="Arial" w:cs="Arial"/>
                <w:b/>
                <w:sz w:val="21"/>
                <w:szCs w:val="21"/>
              </w:rPr>
            </w:pPr>
            <w:r>
              <w:rPr>
                <w:rFonts w:ascii="Arial" w:hAnsi="Arial" w:cs="Arial"/>
                <w:b/>
                <w:sz w:val="21"/>
                <w:szCs w:val="21"/>
              </w:rPr>
              <w:t>Percepatan pelunasan sukarela atas Pinjaman-pinjaman [Fasilitas</w:t>
            </w:r>
            <w:r>
              <w:rPr>
                <w:rFonts w:ascii="Arial" w:hAnsi="Arial" w:cs="Arial"/>
                <w:b/>
                <w:sz w:val="21"/>
                <w:szCs w:val="21"/>
                <w:lang w:val="en-US"/>
              </w:rPr>
              <w:t xml:space="preserve"> </w:t>
            </w:r>
            <w:r>
              <w:rPr>
                <w:rFonts w:ascii="Arial" w:hAnsi="Arial" w:cs="Arial"/>
                <w:b/>
                <w:sz w:val="21"/>
                <w:szCs w:val="21"/>
              </w:rPr>
              <w:t>Pinjaman Berjangka A]</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3"/>
              <w:widowControl w:val="0"/>
              <w:spacing w:after="120"/>
              <w:ind w:left="720"/>
              <w:rPr>
                <w:rFonts w:ascii="Arial" w:hAnsi="Arial" w:cs="Arial"/>
                <w:sz w:val="21"/>
                <w:szCs w:val="21"/>
              </w:rPr>
            </w:pPr>
            <w:r>
              <w:rPr>
                <w:rFonts w:ascii="Arial" w:hAnsi="Arial" w:cs="Arial"/>
                <w:sz w:val="21"/>
                <w:szCs w:val="21"/>
              </w:rPr>
              <w:t>Perusahaan Proyek dapat, dengan menyampaikan pemberitahuan tidak kurang dari [•] Hari Kerja sebelumnya, melakukan percepatan pelunasan [Fasilitas-fasilitas] secara keseluruhan atau sebagian dari saldo kredit Rekening Operasional jika:</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percepatan pelunasan dilakukan setelah Tanggal Penyelesaian Proyek;</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 xml:space="preserve">Jika percepatan pelunasan akan dilakukan sebelum Tanggal Penyelesaian Proyek, Perusahaan Proyek telah membuktikan kepada Agen </w:t>
            </w:r>
            <w:r>
              <w:rPr>
                <w:rFonts w:ascii="Arial" w:hAnsi="Arial" w:cs="Arial"/>
                <w:sz w:val="21"/>
                <w:szCs w:val="21"/>
                <w:lang w:val="en-US"/>
              </w:rPr>
              <w:t>Antarkreditur</w:t>
            </w:r>
            <w:r>
              <w:rPr>
                <w:rFonts w:ascii="Arial" w:hAnsi="Arial" w:cs="Arial"/>
                <w:sz w:val="21"/>
                <w:szCs w:val="21"/>
              </w:rPr>
              <w:t xml:space="preserve"> secara memuaskan bahwa, segera setelah pembatalan tersebut:</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55"/>
              <w:tabs>
                <w:tab w:val="clear" w:pos="2160"/>
              </w:tabs>
              <w:spacing w:after="120"/>
              <w:rPr>
                <w:rFonts w:ascii="Arial" w:hAnsi="Arial" w:cs="Arial"/>
                <w:sz w:val="21"/>
                <w:szCs w:val="21"/>
              </w:rPr>
            </w:pPr>
            <w:r>
              <w:rPr>
                <w:rFonts w:ascii="Arial" w:hAnsi="Arial" w:cs="Arial"/>
                <w:sz w:val="21"/>
                <w:szCs w:val="21"/>
              </w:rPr>
              <w:t>tidak akan ada Kekurangan Pendanaan;</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55"/>
              <w:tabs>
                <w:tab w:val="clear" w:pos="2160"/>
              </w:tabs>
              <w:spacing w:after="120"/>
              <w:rPr>
                <w:rFonts w:ascii="Arial" w:hAnsi="Arial" w:cs="Arial"/>
                <w:sz w:val="21"/>
                <w:szCs w:val="21"/>
              </w:rPr>
            </w:pPr>
            <w:r>
              <w:rPr>
                <w:rFonts w:ascii="Arial" w:hAnsi="Arial" w:cs="Arial"/>
                <w:sz w:val="21"/>
                <w:szCs w:val="21"/>
              </w:rPr>
              <w:t>Tanggal Penyelesaian Proyek akan terjadi pada atau sebelum [Tanggal Penyelesaian Proyek Terjadwal]; dan</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55"/>
              <w:tabs>
                <w:tab w:val="clear" w:pos="2160"/>
              </w:tabs>
              <w:spacing w:after="120"/>
              <w:rPr>
                <w:rFonts w:ascii="Arial" w:hAnsi="Arial" w:cs="Arial"/>
                <w:sz w:val="21"/>
                <w:szCs w:val="21"/>
              </w:rPr>
            </w:pPr>
            <w:r>
              <w:rPr>
                <w:rFonts w:ascii="Arial" w:hAnsi="Arial" w:cs="Arial"/>
                <w:sz w:val="21"/>
                <w:szCs w:val="21"/>
              </w:rPr>
              <w:t>tidak ada Cedera Janji yang berlanjut atau akan timbul sebagai akibat dari percepatan pelunasan tersebut; dan</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bCs/>
                <w:sz w:val="21"/>
                <w:szCs w:val="21"/>
              </w:rPr>
              <w:t>jumlah</w:t>
            </w:r>
            <w:r>
              <w:rPr>
                <w:rFonts w:ascii="Arial" w:hAnsi="Arial" w:cs="Arial"/>
                <w:sz w:val="21"/>
                <w:szCs w:val="21"/>
              </w:rPr>
              <w:t xml:space="preserve"> percepatan pelunasan tersebut tidak kurang dari [</w:t>
            </w:r>
            <w:bookmarkStart w:id="107" w:name="_9kMK8M6ZWu9A67EI"/>
            <w:bookmarkStart w:id="108" w:name="_9kMK8K7ZVw9A67AB"/>
            <w:r>
              <w:rPr>
                <w:rFonts w:ascii="Arial" w:hAnsi="Arial" w:cs="Arial"/>
                <w:sz w:val="21"/>
                <w:szCs w:val="21"/>
              </w:rPr>
              <w:t>•</w:t>
            </w:r>
            <w:bookmarkEnd w:id="107"/>
            <w:bookmarkEnd w:id="108"/>
            <w:r>
              <w:rPr>
                <w:rFonts w:ascii="Arial" w:hAnsi="Arial" w:cs="Arial"/>
                <w:sz w:val="21"/>
                <w:szCs w:val="21"/>
              </w:rPr>
              <w:t>].</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103"/>
              <w:tabs>
                <w:tab w:val="clear" w:pos="766"/>
              </w:tabs>
              <w:spacing w:after="120"/>
              <w:ind w:left="720" w:hanging="720"/>
              <w:rPr>
                <w:rFonts w:ascii="Arial" w:hAnsi="Arial" w:cs="Arial"/>
                <w:b/>
                <w:bCs/>
                <w:sz w:val="21"/>
                <w:szCs w:val="21"/>
              </w:rPr>
            </w:pPr>
            <w:r>
              <w:rPr>
                <w:rFonts w:ascii="Arial" w:hAnsi="Arial" w:cs="Arial"/>
                <w:b/>
                <w:bCs/>
                <w:sz w:val="21"/>
                <w:szCs w:val="21"/>
              </w:rPr>
              <w:t xml:space="preserve">Ketentuan-ketentuan lain dari Percepatan </w:t>
            </w:r>
            <w:r>
              <w:rPr>
                <w:rFonts w:ascii="Arial" w:hAnsi="Arial" w:cs="Arial"/>
                <w:b/>
                <w:sz w:val="21"/>
                <w:szCs w:val="21"/>
              </w:rPr>
              <w:t>Pelunasan</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keepNext/>
              <w:tabs>
                <w:tab w:val="clear" w:pos="720"/>
              </w:tabs>
              <w:spacing w:after="120"/>
              <w:ind w:left="1440"/>
              <w:rPr>
                <w:rFonts w:ascii="Arial" w:hAnsi="Arial" w:cs="Arial"/>
                <w:sz w:val="21"/>
                <w:szCs w:val="21"/>
              </w:rPr>
            </w:pPr>
            <w:r>
              <w:rPr>
                <w:rFonts w:ascii="Arial" w:hAnsi="Arial" w:cs="Arial"/>
                <w:sz w:val="21"/>
                <w:szCs w:val="21"/>
              </w:rPr>
              <w:t>Percepatan-percepatan pelunasan harus diterapkan terhadap angsuran</w:t>
            </w:r>
            <w:r>
              <w:rPr>
                <w:rFonts w:ascii="Arial" w:hAnsi="Arial" w:cs="Arial"/>
                <w:sz w:val="21"/>
                <w:szCs w:val="21"/>
                <w:lang w:val="en-US"/>
              </w:rPr>
              <w:t>-</w:t>
            </w:r>
            <w:r>
              <w:rPr>
                <w:rFonts w:ascii="Arial" w:hAnsi="Arial" w:cs="Arial"/>
                <w:sz w:val="21"/>
                <w:szCs w:val="21"/>
              </w:rPr>
              <w:t xml:space="preserve">angsuran pembayaran </w:t>
            </w:r>
            <w:r>
              <w:rPr>
                <w:rFonts w:ascii="Arial" w:hAnsi="Arial" w:cs="Arial"/>
                <w:sz w:val="21"/>
                <w:szCs w:val="21"/>
                <w:lang w:val="en-US"/>
              </w:rPr>
              <w:t xml:space="preserve">kembali </w:t>
            </w:r>
            <w:r>
              <w:rPr>
                <w:rFonts w:ascii="Arial" w:hAnsi="Arial" w:cs="Arial"/>
                <w:sz w:val="21"/>
                <w:szCs w:val="21"/>
              </w:rPr>
              <w:t>[yang dihitung secara terbalik dari tanggal jatuh tempo akhir] / [secara proposional].</w:t>
            </w:r>
            <w:r>
              <w:rPr>
                <w:rStyle w:val="25"/>
                <w:rFonts w:ascii="Arial" w:hAnsi="Arial" w:cs="Arial"/>
                <w:sz w:val="21"/>
                <w:szCs w:val="21"/>
              </w:rPr>
              <w:footnoteReference w:id="86"/>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keepNext/>
              <w:tabs>
                <w:tab w:val="clear" w:pos="720"/>
              </w:tabs>
              <w:spacing w:after="120"/>
              <w:ind w:left="1440"/>
              <w:rPr>
                <w:rFonts w:ascii="Arial" w:hAnsi="Arial" w:cs="Arial"/>
                <w:sz w:val="21"/>
                <w:szCs w:val="21"/>
              </w:rPr>
            </w:pPr>
            <w:r>
              <w:rPr>
                <w:rFonts w:ascii="Arial" w:hAnsi="Arial" w:cs="Arial"/>
                <w:sz w:val="21"/>
                <w:szCs w:val="21"/>
              </w:rPr>
              <w:t>Setiap percepatan pelunasan harus dilakukan secara bersamaan dengan biaya-biaya pengakhiran perjanjian-perjanjian lindung nilai (jika disyaratkan untuk mematuhi Strategi Lindung Nilai)</w:t>
            </w:r>
            <w:bookmarkStart w:id="109" w:name="_Ref48281030"/>
            <w:r>
              <w:rPr>
                <w:rStyle w:val="25"/>
                <w:rFonts w:ascii="Arial" w:hAnsi="Arial" w:cs="Arial"/>
                <w:sz w:val="21"/>
                <w:szCs w:val="21"/>
              </w:rPr>
              <w:footnoteReference w:id="87"/>
            </w:r>
            <w:bookmarkEnd w:id="109"/>
            <w:r>
              <w:rPr>
                <w:rFonts w:ascii="Arial" w:hAnsi="Arial" w:cs="Arial"/>
                <w:sz w:val="21"/>
                <w:szCs w:val="21"/>
              </w:rPr>
              <w:t>.</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99"/>
              <w:keepNext/>
              <w:tabs>
                <w:tab w:val="clear" w:pos="720"/>
              </w:tabs>
              <w:spacing w:after="120"/>
              <w:ind w:left="1440"/>
              <w:rPr>
                <w:rFonts w:ascii="Arial" w:hAnsi="Arial" w:cs="Arial"/>
                <w:sz w:val="21"/>
                <w:szCs w:val="21"/>
              </w:rPr>
            </w:pPr>
            <w:r>
              <w:rPr>
                <w:rFonts w:ascii="Arial" w:hAnsi="Arial" w:cs="Arial"/>
                <w:sz w:val="21"/>
                <w:szCs w:val="21"/>
              </w:rPr>
              <w:t>[Perusahaan Proyek dapat melakukan percepatan pelunasan terhadap seluruh [Fasilitas Pinjaman Berjangka A]/[Fasilitas-fasilitas] setiap saat dengan cara pembiayaan kembali.]</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103"/>
              <w:tabs>
                <w:tab w:val="clear" w:pos="766"/>
              </w:tabs>
              <w:spacing w:after="120"/>
              <w:ind w:left="720" w:hanging="720"/>
              <w:rPr>
                <w:rFonts w:ascii="Arial" w:hAnsi="Arial" w:cs="Arial"/>
                <w:b/>
                <w:sz w:val="21"/>
                <w:szCs w:val="21"/>
              </w:rPr>
            </w:pPr>
            <w:r>
              <w:rPr>
                <w:rFonts w:ascii="Arial" w:hAnsi="Arial" w:cs="Arial"/>
                <w:b/>
                <w:sz w:val="21"/>
                <w:szCs w:val="21"/>
              </w:rPr>
              <w:t>Pembatalan pada akhir Periode Ketersediaan</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103"/>
              <w:numPr>
                <w:ilvl w:val="0"/>
                <w:numId w:val="0"/>
              </w:numPr>
              <w:tabs>
                <w:tab w:val="clear" w:pos="766"/>
              </w:tabs>
              <w:spacing w:after="120"/>
              <w:ind w:left="720"/>
              <w:rPr>
                <w:rFonts w:ascii="Arial" w:hAnsi="Arial" w:cs="Arial"/>
                <w:b/>
                <w:sz w:val="21"/>
                <w:szCs w:val="21"/>
              </w:rPr>
            </w:pPr>
            <w:r>
              <w:rPr>
                <w:rFonts w:ascii="Arial" w:hAnsi="Arial" w:cs="Arial"/>
                <w:sz w:val="21"/>
                <w:szCs w:val="21"/>
              </w:rPr>
              <w:t>Setiap bagian yang belum ditarik dari [Fasilitas[-fasilitas]] akan dibatalkan secara otomatis pada akhir Periode Ketersediaan [yang terkait].</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103"/>
              <w:tabs>
                <w:tab w:val="clear" w:pos="766"/>
              </w:tabs>
              <w:spacing w:after="120"/>
              <w:ind w:left="720" w:hanging="720"/>
              <w:rPr>
                <w:rFonts w:ascii="Arial" w:hAnsi="Arial" w:cs="Arial"/>
                <w:b/>
                <w:sz w:val="21"/>
                <w:szCs w:val="21"/>
              </w:rPr>
            </w:pPr>
            <w:r>
              <w:rPr>
                <w:rFonts w:ascii="Arial" w:hAnsi="Arial" w:cs="Arial"/>
                <w:b/>
                <w:sz w:val="21"/>
                <w:szCs w:val="21"/>
              </w:rPr>
              <w:t>Tidak ada pemulihan</w:t>
            </w:r>
          </w:p>
        </w:tc>
      </w:tr>
      <w:tr>
        <w:tblPrEx>
          <w:tblCellMar>
            <w:top w:w="0" w:type="dxa"/>
            <w:left w:w="108" w:type="dxa"/>
            <w:bottom w:w="0" w:type="dxa"/>
            <w:right w:w="108" w:type="dxa"/>
          </w:tblCellMar>
        </w:tblPrEx>
        <w:tc>
          <w:tcPr>
            <w:tcW w:w="3531" w:type="dxa"/>
          </w:tcPr>
          <w:p>
            <w:pPr>
              <w:widowControl w:val="0"/>
              <w:spacing w:after="120"/>
              <w:jc w:val="left"/>
              <w:rPr>
                <w:rFonts w:ascii="Arial" w:hAnsi="Arial" w:cs="Arial"/>
                <w:b/>
                <w:sz w:val="21"/>
                <w:szCs w:val="21"/>
              </w:rPr>
            </w:pPr>
          </w:p>
        </w:tc>
        <w:tc>
          <w:tcPr>
            <w:tcW w:w="5136" w:type="dxa"/>
          </w:tcPr>
          <w:p>
            <w:pPr>
              <w:pStyle w:val="103"/>
              <w:numPr>
                <w:ilvl w:val="0"/>
                <w:numId w:val="0"/>
              </w:numPr>
              <w:tabs>
                <w:tab w:val="clear" w:pos="766"/>
              </w:tabs>
              <w:spacing w:after="120"/>
              <w:ind w:left="720"/>
              <w:rPr>
                <w:rFonts w:ascii="Arial" w:hAnsi="Arial" w:cs="Arial"/>
                <w:b/>
                <w:sz w:val="21"/>
                <w:szCs w:val="21"/>
              </w:rPr>
            </w:pPr>
            <w:r>
              <w:rPr>
                <w:rFonts w:ascii="Arial" w:hAnsi="Arial" w:cs="Arial"/>
                <w:sz w:val="21"/>
                <w:szCs w:val="21"/>
              </w:rPr>
              <w:t>Jumlah-jumlah yang dibatalkan tidak dapat dipulihkan.</w:t>
            </w:r>
          </w:p>
        </w:tc>
      </w:tr>
      <w:tr>
        <w:tblPrEx>
          <w:tblCellMar>
            <w:top w:w="0" w:type="dxa"/>
            <w:left w:w="108" w:type="dxa"/>
            <w:bottom w:w="0" w:type="dxa"/>
            <w:right w:w="108" w:type="dxa"/>
          </w:tblCellMar>
        </w:tblPrEx>
        <w:tc>
          <w:tcPr>
            <w:tcW w:w="3531" w:type="dxa"/>
          </w:tcPr>
          <w:p>
            <w:pPr>
              <w:pStyle w:val="105"/>
              <w:keepNext w:val="0"/>
              <w:tabs>
                <w:tab w:val="clear" w:pos="720"/>
              </w:tabs>
              <w:spacing w:after="120"/>
              <w:jc w:val="both"/>
              <w:rPr>
                <w:rFonts w:ascii="Arial" w:hAnsi="Arial" w:cs="Arial"/>
                <w:b w:val="0"/>
                <w:sz w:val="21"/>
                <w:szCs w:val="21"/>
              </w:rPr>
            </w:pPr>
            <w:bookmarkStart w:id="110" w:name="_Toc74557538"/>
            <w:bookmarkStart w:id="111" w:name="_Toc74860684"/>
            <w:r>
              <w:rPr>
                <w:rFonts w:ascii="Arial" w:hAnsi="Arial" w:cs="Arial"/>
                <w:sz w:val="21"/>
                <w:szCs w:val="21"/>
              </w:rPr>
              <w:t>Hasil-hasil klaim asuransi dan Ganti Rugi Yang Ditetapkan Nilainya Atas Kegagalan Kinerja:</w:t>
            </w:r>
            <w:bookmarkEnd w:id="110"/>
            <w:bookmarkEnd w:id="111"/>
          </w:p>
        </w:tc>
        <w:tc>
          <w:tcPr>
            <w:tcW w:w="5136" w:type="dxa"/>
          </w:tcPr>
          <w:p>
            <w:pPr>
              <w:pStyle w:val="103"/>
              <w:tabs>
                <w:tab w:val="clear" w:pos="766"/>
              </w:tabs>
              <w:spacing w:after="120"/>
              <w:ind w:left="720" w:hanging="720"/>
              <w:rPr>
                <w:rFonts w:ascii="Arial" w:hAnsi="Arial" w:cs="Arial"/>
                <w:sz w:val="21"/>
                <w:szCs w:val="21"/>
              </w:rPr>
            </w:pPr>
            <w:r>
              <w:rPr>
                <w:rFonts w:ascii="Arial" w:hAnsi="Arial" w:cs="Arial"/>
                <w:sz w:val="21"/>
                <w:szCs w:val="21"/>
              </w:rPr>
              <w:t>Tunduk pada ketentuan butir (b) di bawah, (x) hasil-hasil klaim asuransi berdasarkan polis-polis asuransi risiko kehilangan secara fisik atau kerusakan harus digunakan untuk memperbaiki atau memulihkan properti yang rusak, namun jika hasil atau nilai [yang timbul] dari kerusakan pada Proyek dimana hasil terkait lebih besar daripada [•] dan (y) ganti rugi yang ditetapkan nilainya atas kegagalan kinerja dapat digunakan untuk investasi kembali Proyek, dalam hal apapun semata-mata jika:</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 xml:space="preserve">perbaikan, pemulihan atau investasi kembali tersebut dilakukan sesuai dengan rencana yang disampaikan oleh Perusahaan Proyek dan disetujui oleh Agen </w:t>
            </w:r>
            <w:r>
              <w:rPr>
                <w:rFonts w:ascii="Arial" w:hAnsi="Arial" w:cs="Arial"/>
                <w:sz w:val="21"/>
                <w:szCs w:val="21"/>
                <w:lang w:val="en-US"/>
              </w:rPr>
              <w:t>Antarkreditur</w:t>
            </w:r>
            <w:r>
              <w:rPr>
                <w:rFonts w:ascii="Arial" w:hAnsi="Arial" w:cs="Arial"/>
                <w:sz w:val="21"/>
                <w:szCs w:val="21"/>
              </w:rPr>
              <w:t>;</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 xml:space="preserve">(semata-mata terkait dengan hasil-hasil klaim asuransi) menurut pendapat wajar dari Agen </w:t>
            </w:r>
            <w:r>
              <w:rPr>
                <w:rFonts w:ascii="Arial" w:hAnsi="Arial" w:cs="Arial"/>
                <w:sz w:val="21"/>
                <w:szCs w:val="21"/>
                <w:lang w:val="en-US"/>
              </w:rPr>
              <w:t>Antarkreditur</w:t>
            </w:r>
            <w:r>
              <w:rPr>
                <w:rFonts w:ascii="Arial" w:hAnsi="Arial" w:cs="Arial"/>
                <w:sz w:val="21"/>
                <w:szCs w:val="21"/>
              </w:rPr>
              <w:t xml:space="preserve"> (setelah berkonsultasi dengan [Penasihat Asuransi] dan [Penasihat Teknis]) properti yang rusak dapat diperbaiki atau dipulihkan sesuai dengan rencana pemulihan dalam batas-batas waktu yang ditetapkan berdasarkan Dokumen-dokumen Proyek dan hasil-hasil klaim asuransi tersebut (bersama dengan jumlah uang lain yang tersedia bagi Perusahaan Proyek dan dijanjikan untuk digunakan untuk perbaikan atau pemulihan tersebut) cukup untuk melakukan hal-hal tersebut;</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(semata-mata terkait dengan hasil-hasil klaim asuransi) ketentuan-ketentuan kontraktual untuk melakukan perbaikan atau pemulihan tersebut dapat diterima oleh Para Kreditur Mayoritas; dan</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99"/>
              <w:tabs>
                <w:tab w:val="clear" w:pos="720"/>
              </w:tabs>
              <w:spacing w:after="120"/>
              <w:ind w:left="1440"/>
              <w:rPr>
                <w:rFonts w:ascii="Arial" w:hAnsi="Arial" w:cs="Arial"/>
                <w:sz w:val="21"/>
                <w:szCs w:val="21"/>
              </w:rPr>
            </w:pPr>
            <w:r>
              <w:rPr>
                <w:rFonts w:ascii="Arial" w:hAnsi="Arial" w:cs="Arial"/>
                <w:sz w:val="21"/>
                <w:szCs w:val="21"/>
              </w:rPr>
              <w:t>berdasarkan Laporan Keuangan setelah perbaikan, pemulihan atau investasi kembali tersebut [yang Rasio-rasionya tidak kurang dari [</w:t>
            </w:r>
            <w:r>
              <w:rPr>
                <w:rFonts w:ascii="Arial" w:hAnsi="Arial" w:cs="Arial"/>
                <w:i/>
                <w:sz w:val="21"/>
                <w:szCs w:val="21"/>
              </w:rPr>
              <w:t>masukkan tingkat rasio yang disyaratkan</w:t>
            </w:r>
            <w:r>
              <w:rPr>
                <w:rFonts w:ascii="Arial" w:hAnsi="Arial" w:cs="Arial"/>
                <w:sz w:val="21"/>
                <w:szCs w:val="21"/>
              </w:rPr>
              <w:t xml:space="preserve">][tingkat-tingkat rasio yang disyaratkan pada saat Pemenuhan Pembiayaan][tingkat-tingkat rasio yang ditentukan dalam Laporan Keuangan terakhir sebelum terjadinya peristiwa yang menimbulkan pembayaran tersebut]], </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3"/>
              <w:spacing w:after="120"/>
              <w:ind w:left="720"/>
              <w:rPr>
                <w:rFonts w:ascii="Arial" w:hAnsi="Arial" w:cs="Arial"/>
                <w:sz w:val="21"/>
                <w:szCs w:val="21"/>
              </w:rPr>
            </w:pPr>
            <w:r>
              <w:rPr>
                <w:rFonts w:ascii="Arial" w:hAnsi="Arial" w:cs="Arial"/>
                <w:sz w:val="21"/>
                <w:szCs w:val="21"/>
              </w:rPr>
              <w:t xml:space="preserve">dan setiap kelebihan jumlah harus dibayarkan secara langsung kepada Agen </w:t>
            </w:r>
            <w:r>
              <w:rPr>
                <w:rFonts w:ascii="Arial" w:hAnsi="Arial" w:cs="Arial"/>
                <w:sz w:val="21"/>
                <w:szCs w:val="21"/>
                <w:lang w:val="en-US"/>
              </w:rPr>
              <w:t>Antarkreditur</w:t>
            </w:r>
            <w:r>
              <w:rPr>
                <w:rFonts w:ascii="Arial" w:hAnsi="Arial" w:cs="Arial"/>
                <w:sz w:val="21"/>
                <w:szCs w:val="21"/>
              </w:rPr>
              <w:t xml:space="preserve"> untuk digunakan dalam percepatan pelunasan wajib atas Fasilitas[-fasilitas] sepanjang disyaratkan untuk mengembalikan Rasio-rasio menjadi sekurang-kurangnya [</w:t>
            </w:r>
            <w:r>
              <w:rPr>
                <w:rFonts w:ascii="Arial" w:hAnsi="Arial" w:cs="Arial"/>
                <w:i/>
                <w:sz w:val="21"/>
                <w:szCs w:val="21"/>
              </w:rPr>
              <w:t>masukkan tingkat-tingkat rasio yang disyaratkan</w:t>
            </w:r>
            <w:r>
              <w:rPr>
                <w:rFonts w:ascii="Arial" w:hAnsi="Arial" w:cs="Arial"/>
                <w:sz w:val="21"/>
                <w:szCs w:val="21"/>
              </w:rPr>
              <w:t>][tingkat-tingkat rasio yang disyaratkan pada saat Pemenuhan Pembiayaan].</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pStyle w:val="103"/>
              <w:tabs>
                <w:tab w:val="clear" w:pos="766"/>
              </w:tabs>
              <w:spacing w:after="120"/>
              <w:ind w:left="619" w:hanging="619"/>
              <w:rPr>
                <w:rFonts w:ascii="Arial" w:hAnsi="Arial" w:cs="Arial"/>
                <w:sz w:val="21"/>
                <w:szCs w:val="21"/>
              </w:rPr>
            </w:pPr>
            <w:bookmarkStart w:id="112" w:name="_Ref35635493"/>
            <w:r>
              <w:rPr>
                <w:rFonts w:ascii="Arial" w:hAnsi="Arial" w:cs="Arial"/>
                <w:sz w:val="21"/>
                <w:szCs w:val="21"/>
              </w:rPr>
              <w:t xml:space="preserve">Kecuali apabila Para Kreditur Mayoritas menyepakati lain, hasil-hasil klaim asuransi berdasarkan polis-polis asuransi risiko kehilangan secara fisik atau kerusakan yang jumlahnya lebih dari [•] harus dibayarkan secara langsung kepada Agen </w:t>
            </w:r>
            <w:r>
              <w:rPr>
                <w:rFonts w:ascii="Arial" w:hAnsi="Arial" w:cs="Arial"/>
                <w:sz w:val="21"/>
                <w:szCs w:val="21"/>
                <w:lang w:val="en-US"/>
              </w:rPr>
              <w:t>Antarkreditur</w:t>
            </w:r>
            <w:r>
              <w:rPr>
                <w:rFonts w:ascii="Arial" w:hAnsi="Arial" w:cs="Arial"/>
                <w:sz w:val="21"/>
                <w:szCs w:val="21"/>
              </w:rPr>
              <w:t xml:space="preserve"> untuk digunakan untuk membayar Percepatan Pelunasan Wajib atas Fasilitas[-fasilitas] sebagaimana disebutkan di atas sepanjang disyaratkan untuk mengembalikan Rasio-rasio menjadi sekurang-kurangnya [</w:t>
            </w:r>
            <w:r>
              <w:rPr>
                <w:rFonts w:ascii="Arial" w:hAnsi="Arial" w:cs="Arial"/>
                <w:i/>
                <w:sz w:val="21"/>
                <w:szCs w:val="21"/>
              </w:rPr>
              <w:t>masukkan tingkat-tingkat rasio yang disyaratkan</w:t>
            </w:r>
            <w:r>
              <w:rPr>
                <w:rFonts w:ascii="Arial" w:hAnsi="Arial" w:cs="Arial"/>
                <w:sz w:val="21"/>
                <w:szCs w:val="21"/>
              </w:rPr>
              <w:t>][tingkat-tingkat rasio yang disyaratkan pada saat Pemenuhan Pembiayaan].</w:t>
            </w:r>
            <w:bookmarkEnd w:id="112"/>
            <w:r>
              <w:rPr>
                <w:rFonts w:ascii="Arial" w:hAnsi="Arial" w:cs="Arial"/>
                <w:sz w:val="21"/>
                <w:szCs w:val="21"/>
              </w:rPr>
              <w:t xml:space="preserve"> </w:t>
            </w:r>
          </w:p>
        </w:tc>
      </w:tr>
      <w:tr>
        <w:tblPrEx>
          <w:tblCellMar>
            <w:top w:w="0" w:type="dxa"/>
            <w:left w:w="108" w:type="dxa"/>
            <w:bottom w:w="0" w:type="dxa"/>
            <w:right w:w="108" w:type="dxa"/>
          </w:tblCellMar>
        </w:tblPrEx>
        <w:tc>
          <w:tcPr>
            <w:tcW w:w="3531" w:type="dxa"/>
          </w:tcPr>
          <w:p>
            <w:pPr>
              <w:widowControl w:val="0"/>
              <w:spacing w:after="120"/>
              <w:rPr>
                <w:rFonts w:ascii="Arial" w:hAnsi="Arial" w:cs="Arial"/>
                <w:sz w:val="21"/>
                <w:szCs w:val="21"/>
              </w:rPr>
            </w:pPr>
          </w:p>
        </w:tc>
        <w:tc>
          <w:tcPr>
            <w:tcW w:w="5136" w:type="dxa"/>
          </w:tcPr>
          <w:p>
            <w:pPr>
              <w:widowControl w:val="0"/>
              <w:spacing w:after="120"/>
              <w:rPr>
                <w:rFonts w:ascii="Arial" w:hAnsi="Arial" w:cs="Arial"/>
                <w:sz w:val="21"/>
                <w:szCs w:val="21"/>
              </w:rPr>
            </w:pPr>
            <w:r>
              <w:rPr>
                <w:rFonts w:ascii="Arial" w:hAnsi="Arial" w:cs="Arial"/>
                <w:sz w:val="21"/>
                <w:szCs w:val="21"/>
              </w:rPr>
              <w:t>Tidak ada jumlah yang dipercepat pelunasannya dari hasil-hasil klaim asuransi yang akan tersedia untuk penarikan kembali.</w:t>
            </w:r>
          </w:p>
        </w:tc>
      </w:tr>
    </w:tbl>
    <w:p>
      <w:pPr>
        <w:spacing w:after="120"/>
        <w:rPr>
          <w:rFonts w:ascii="Arial" w:hAnsi="Arial" w:eastAsia="Times New Roman" w:cs="Arial"/>
          <w:sz w:val="21"/>
          <w:szCs w:val="21"/>
        </w:rPr>
      </w:pPr>
    </w:p>
    <w:p>
      <w:pPr>
        <w:pStyle w:val="107"/>
        <w:pageBreakBefore/>
        <w:spacing w:after="120"/>
        <w:rPr>
          <w:rFonts w:ascii="Arial" w:hAnsi="Arial" w:eastAsia="Times New Roman" w:cs="Arial"/>
          <w:sz w:val="21"/>
          <w:szCs w:val="21"/>
        </w:rPr>
      </w:pPr>
      <w:bookmarkStart w:id="113" w:name="_Toc74860685"/>
      <w:bookmarkStart w:id="114" w:name="_Toc74557539"/>
      <w:r>
        <w:rPr>
          <w:rFonts w:ascii="Arial" w:hAnsi="Arial" w:eastAsia="Times New Roman" w:cs="Arial"/>
          <w:sz w:val="21"/>
          <w:szCs w:val="21"/>
        </w:rPr>
        <w:t>KETENTUAN-KETENTUAN UMUM</w:t>
      </w:r>
      <w:bookmarkEnd w:id="113"/>
      <w:bookmarkEnd w:id="114"/>
    </w:p>
    <w:tbl>
      <w:tblPr>
        <w:tblStyle w:val="17"/>
        <w:tblW w:w="5000" w:type="pct"/>
        <w:tblInd w:w="0" w:type="dxa"/>
        <w:tblLayout w:type="autofit"/>
        <w:tblCellMar>
          <w:top w:w="0" w:type="dxa"/>
          <w:left w:w="108" w:type="dxa"/>
          <w:bottom w:w="0" w:type="dxa"/>
          <w:right w:w="108" w:type="dxa"/>
        </w:tblCellMar>
      </w:tblPr>
      <w:tblGrid>
        <w:gridCol w:w="3642"/>
        <w:gridCol w:w="5241"/>
      </w:tblGrid>
      <w:tr>
        <w:tblPrEx>
          <w:tblCellMar>
            <w:top w:w="0" w:type="dxa"/>
            <w:left w:w="108" w:type="dxa"/>
            <w:bottom w:w="0" w:type="dxa"/>
            <w:right w:w="108" w:type="dxa"/>
          </w:tblCellMar>
        </w:tblPrEx>
        <w:tc>
          <w:tcPr>
            <w:tcW w:w="2050" w:type="pct"/>
          </w:tcPr>
          <w:p>
            <w:pPr>
              <w:pStyle w:val="105"/>
              <w:spacing w:after="120"/>
              <w:jc w:val="both"/>
              <w:rPr>
                <w:rFonts w:ascii="Arial" w:hAnsi="Arial" w:cs="Arial"/>
                <w:b w:val="0"/>
                <w:sz w:val="21"/>
                <w:szCs w:val="21"/>
              </w:rPr>
            </w:pPr>
            <w:bookmarkStart w:id="115" w:name="_Toc74860686"/>
            <w:bookmarkStart w:id="116" w:name="_Toc74557540"/>
            <w:r>
              <w:rPr>
                <w:rFonts w:ascii="Arial" w:hAnsi="Arial" w:cs="Arial"/>
                <w:sz w:val="21"/>
                <w:szCs w:val="21"/>
              </w:rPr>
              <w:t>Dokumen-dokumen Pembiayaan:</w:t>
            </w:r>
            <w:bookmarkEnd w:id="115"/>
            <w:bookmarkEnd w:id="116"/>
          </w:p>
        </w:tc>
        <w:tc>
          <w:tcPr>
            <w:tcW w:w="2950" w:type="pct"/>
          </w:tcPr>
          <w:p>
            <w:pPr>
              <w:pStyle w:val="59"/>
              <w:spacing w:after="120"/>
              <w:rPr>
                <w:rFonts w:ascii="Arial" w:hAnsi="Arial" w:cs="Arial"/>
                <w:sz w:val="21"/>
                <w:szCs w:val="21"/>
              </w:rPr>
            </w:pPr>
            <w:r>
              <w:rPr>
                <w:rFonts w:ascii="Arial" w:hAnsi="Arial" w:cs="Arial"/>
                <w:sz w:val="21"/>
                <w:szCs w:val="21"/>
              </w:rPr>
              <w:t>Dokumen-dokumen Pembiayaan terdiri dari:</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numPr>
                <w:ilvl w:val="1"/>
                <w:numId w:val="27"/>
              </w:numPr>
              <w:spacing w:after="120"/>
              <w:rPr>
                <w:rFonts w:ascii="Arial" w:hAnsi="Arial" w:cs="Arial"/>
                <w:sz w:val="21"/>
                <w:szCs w:val="21"/>
              </w:rPr>
            </w:pPr>
            <w:r>
              <w:rPr>
                <w:rFonts w:ascii="Arial" w:hAnsi="Arial" w:cs="Arial"/>
                <w:sz w:val="21"/>
                <w:szCs w:val="21"/>
              </w:rPr>
              <w:t>Perjanjian Ketentuan</w:t>
            </w:r>
            <w:r>
              <w:rPr>
                <w:rFonts w:ascii="Arial" w:hAnsi="Arial" w:cs="Arial"/>
                <w:sz w:val="21"/>
                <w:szCs w:val="21"/>
                <w:lang w:val="en-US"/>
              </w:rPr>
              <w:t>-ke</w:t>
            </w:r>
            <w:r>
              <w:rPr>
                <w:rFonts w:ascii="Arial" w:hAnsi="Arial" w:cs="Arial"/>
                <w:sz w:val="21"/>
                <w:szCs w:val="21"/>
              </w:rPr>
              <w:t>tentuan Umum;</w:t>
            </w:r>
          </w:p>
        </w:tc>
      </w:tr>
      <w:tr>
        <w:tblPrEx>
          <w:tblCellMar>
            <w:top w:w="0" w:type="dxa"/>
            <w:left w:w="108" w:type="dxa"/>
            <w:bottom w:w="0" w:type="dxa"/>
            <w:right w:w="108" w:type="dxa"/>
          </w:tblCellMar>
        </w:tblPrEx>
        <w:trPr>
          <w:trHeight w:val="70" w:hRule="atLeast"/>
        </w:trPr>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Perjanjian-perjanjian Fasilitas;</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 xml:space="preserve">Akta Jaminan </w:t>
            </w:r>
            <w:r>
              <w:rPr>
                <w:rFonts w:ascii="Arial" w:hAnsi="Arial" w:cs="Arial"/>
                <w:i/>
                <w:iCs/>
                <w:sz w:val="21"/>
                <w:szCs w:val="21"/>
              </w:rPr>
              <w:t xml:space="preserve">Trust </w:t>
            </w:r>
            <w:r>
              <w:rPr>
                <w:rFonts w:ascii="Arial" w:hAnsi="Arial" w:cs="Arial"/>
                <w:sz w:val="21"/>
                <w:szCs w:val="21"/>
              </w:rPr>
              <w:t xml:space="preserve">dan </w:t>
            </w:r>
            <w:r>
              <w:rPr>
                <w:rFonts w:ascii="Arial" w:hAnsi="Arial" w:cs="Arial"/>
                <w:sz w:val="21"/>
                <w:szCs w:val="21"/>
                <w:lang w:val="en-US"/>
              </w:rPr>
              <w:t>Antarkreditur</w:t>
            </w:r>
            <w:r>
              <w:rPr>
                <w:rFonts w:ascii="Arial" w:hAnsi="Arial" w:cs="Arial"/>
                <w:sz w:val="21"/>
                <w:szCs w:val="21"/>
              </w:rPr>
              <w:t>;</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[Perjanjian Rekening [Dalam Negeri/Luar Negeri]];</w:t>
            </w:r>
            <w:bookmarkStart w:id="117" w:name="_9kR3WTr6734CJLL"/>
            <w:bookmarkStart w:id="118" w:name="_9kP4WSt67348CIL"/>
            <w:r>
              <w:rPr>
                <w:rStyle w:val="25"/>
                <w:rFonts w:ascii="Arial" w:hAnsi="Arial" w:cs="Arial"/>
                <w:sz w:val="21"/>
                <w:szCs w:val="21"/>
              </w:rPr>
              <w:footnoteReference w:id="88"/>
            </w:r>
            <w:bookmarkEnd w:id="117"/>
            <w:bookmarkEnd w:id="118"/>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Dokumen-dokumen Jaminan;</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spacing w:after="120"/>
              <w:rPr>
                <w:rFonts w:ascii="Arial" w:hAnsi="Arial" w:cs="Arial"/>
                <w:sz w:val="21"/>
                <w:szCs w:val="21"/>
              </w:rPr>
            </w:pPr>
            <w:r>
              <w:rPr>
                <w:rFonts w:ascii="Arial" w:hAnsi="Arial" w:cs="Arial"/>
                <w:sz w:val="21"/>
                <w:szCs w:val="21"/>
              </w:rPr>
              <w:t>[perjanjian-perjanjian langsung dengan para pihak lawan dalam Dokumen-dokumen Proyek]</w:t>
            </w:r>
            <w:bookmarkStart w:id="119" w:name="_9kP4WSt67348DJM"/>
            <w:bookmarkStart w:id="120" w:name="_9kR3WTr6734CKMM"/>
            <w:r>
              <w:rPr>
                <w:rStyle w:val="25"/>
                <w:rFonts w:ascii="Arial" w:hAnsi="Arial" w:cs="Arial"/>
                <w:sz w:val="21"/>
                <w:szCs w:val="21"/>
              </w:rPr>
              <w:footnoteReference w:id="89"/>
            </w:r>
            <w:bookmarkEnd w:id="119"/>
            <w:bookmarkEnd w:id="120"/>
            <w:r>
              <w:rPr>
                <w:rFonts w:ascii="Arial" w:hAnsi="Arial" w:cs="Arial"/>
                <w:sz w:val="21"/>
                <w:szCs w:val="21"/>
              </w:rPr>
              <w:t>;</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bookmarkStart w:id="121" w:name="_Ref25937894"/>
            <w:r>
              <w:rPr>
                <w:rFonts w:ascii="Arial" w:hAnsi="Arial" w:cs="Arial"/>
                <w:sz w:val="21"/>
                <w:szCs w:val="21"/>
              </w:rPr>
              <w:t>[Perjanjian Kontribusi Pemegang Saham dan Dukungan Sponsor]</w:t>
            </w:r>
            <w:r>
              <w:rPr>
                <w:rStyle w:val="25"/>
                <w:rFonts w:ascii="Arial" w:hAnsi="Arial" w:cs="Arial"/>
                <w:sz w:val="21"/>
                <w:szCs w:val="21"/>
              </w:rPr>
              <w:footnoteReference w:id="90"/>
            </w:r>
            <w:r>
              <w:rPr>
                <w:rFonts w:ascii="Arial" w:hAnsi="Arial" w:cs="Arial"/>
                <w:sz w:val="21"/>
                <w:szCs w:val="21"/>
              </w:rPr>
              <w:t>;</w:t>
            </w:r>
            <w:bookmarkEnd w:id="121"/>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Perjanjian-perjanjian Subordinasi;</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[Perjanjian-perjanjian Pinjaman Pemegang Saham;]</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Surat-surat Biaya;</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Dukungan-dukungan Kredit Yang Dapat Diterima;</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 xml:space="preserve">[Perjanjian-perjanjian Lindung Nilai;] </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Janji-janji Penundukan Diri;</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 xml:space="preserve">Sertifikat-sertifikat Pemindahan; </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lang w:val="en-US"/>
              </w:rPr>
              <w:t>Perjanjian-perjanjian</w:t>
            </w:r>
            <w:r>
              <w:rPr>
                <w:rFonts w:ascii="Arial" w:hAnsi="Arial" w:cs="Arial"/>
                <w:sz w:val="21"/>
                <w:szCs w:val="21"/>
              </w:rPr>
              <w:t xml:space="preserve"> Pengalihan ; [dan]</w:t>
            </w:r>
          </w:p>
        </w:tc>
      </w:tr>
      <w:tr>
        <w:tblPrEx>
          <w:tblCellMar>
            <w:top w:w="0" w:type="dxa"/>
            <w:left w:w="108" w:type="dxa"/>
            <w:bottom w:w="0" w:type="dxa"/>
            <w:right w:w="108" w:type="dxa"/>
          </w:tblCellMar>
        </w:tblPrEx>
        <w:tc>
          <w:tcPr>
            <w:tcW w:w="2050" w:type="pct"/>
          </w:tcPr>
          <w:p>
            <w:pPr>
              <w:pStyle w:val="57"/>
              <w:numPr>
                <w:ilvl w:val="0"/>
                <w:numId w:val="0"/>
              </w:numPr>
              <w:spacing w:after="120"/>
              <w:ind w:left="720" w:hanging="720"/>
              <w:rPr>
                <w:rFonts w:ascii="Arial" w:hAnsi="Arial" w:cs="Arial"/>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w:t>
            </w:r>
            <w:r>
              <w:rPr>
                <w:rFonts w:ascii="Arial" w:hAnsi="Arial" w:cs="Arial"/>
                <w:i/>
                <w:iCs/>
                <w:sz w:val="21"/>
                <w:szCs w:val="21"/>
              </w:rPr>
              <w:t xml:space="preserve">perjanjian-perjanjian lainnya sehubungan dengan </w:t>
            </w:r>
            <w:r>
              <w:rPr>
                <w:rFonts w:ascii="Arial" w:hAnsi="Arial" w:cs="Arial"/>
                <w:sz w:val="21"/>
                <w:szCs w:val="21"/>
              </w:rPr>
              <w:t>pembiayaan</w:t>
            </w:r>
            <w:r>
              <w:rPr>
                <w:rFonts w:ascii="Arial" w:hAnsi="Arial" w:cs="Arial"/>
                <w:i/>
                <w:iCs/>
                <w:sz w:val="21"/>
                <w:szCs w:val="21"/>
              </w:rPr>
              <w:t xml:space="preserve"> Proyek</w:t>
            </w:r>
            <w:r>
              <w:rPr>
                <w:rFonts w:ascii="Arial" w:hAnsi="Arial" w:cs="Arial"/>
                <w:sz w:val="21"/>
                <w:szCs w:val="21"/>
              </w:rPr>
              <w:t>].</w:t>
            </w:r>
          </w:p>
        </w:tc>
      </w:tr>
      <w:tr>
        <w:tblPrEx>
          <w:tblCellMar>
            <w:top w:w="0" w:type="dxa"/>
            <w:left w:w="108" w:type="dxa"/>
            <w:bottom w:w="0" w:type="dxa"/>
            <w:right w:w="108" w:type="dxa"/>
          </w:tblCellMar>
        </w:tblPrEx>
        <w:tc>
          <w:tcPr>
            <w:tcW w:w="2050" w:type="pct"/>
            <w:vMerge w:val="restart"/>
          </w:tcPr>
          <w:p>
            <w:pPr>
              <w:pStyle w:val="105"/>
              <w:spacing w:after="120"/>
              <w:rPr>
                <w:rFonts w:ascii="Arial" w:hAnsi="Arial" w:cs="Arial"/>
                <w:b w:val="0"/>
                <w:sz w:val="21"/>
                <w:szCs w:val="21"/>
              </w:rPr>
            </w:pPr>
            <w:bookmarkStart w:id="122" w:name="_Toc74557541"/>
            <w:bookmarkStart w:id="123" w:name="_Toc74860687"/>
            <w:r>
              <w:rPr>
                <w:rFonts w:ascii="Arial" w:hAnsi="Arial" w:cs="Arial"/>
                <w:sz w:val="21"/>
                <w:szCs w:val="21"/>
              </w:rPr>
              <w:t>Dokumen-dokumen Jaminan</w:t>
            </w:r>
            <w:r>
              <w:rPr>
                <w:rStyle w:val="25"/>
                <w:rFonts w:ascii="Arial" w:hAnsi="Arial" w:cs="Arial"/>
                <w:b w:val="0"/>
                <w:sz w:val="21"/>
                <w:szCs w:val="21"/>
              </w:rPr>
              <w:footnoteReference w:id="91"/>
            </w:r>
            <w:r>
              <w:rPr>
                <w:rFonts w:ascii="Arial" w:hAnsi="Arial" w:cs="Arial"/>
                <w:sz w:val="21"/>
                <w:szCs w:val="21"/>
              </w:rPr>
              <w:t>:</w:t>
            </w:r>
            <w:bookmarkEnd w:id="122"/>
            <w:bookmarkEnd w:id="123"/>
          </w:p>
        </w:tc>
        <w:tc>
          <w:tcPr>
            <w:tcW w:w="2950" w:type="pct"/>
          </w:tcPr>
          <w:p>
            <w:pPr>
              <w:pStyle w:val="59"/>
              <w:spacing w:after="120"/>
              <w:rPr>
                <w:rFonts w:ascii="Arial" w:hAnsi="Arial" w:cs="Arial"/>
                <w:sz w:val="21"/>
                <w:szCs w:val="21"/>
              </w:rPr>
            </w:pPr>
            <w:r>
              <w:rPr>
                <w:rFonts w:ascii="Arial" w:hAnsi="Arial" w:cs="Arial"/>
                <w:sz w:val="21"/>
                <w:szCs w:val="21"/>
              </w:rPr>
              <w:t>Paket jaminan Para Kreditur harus mencakup jaminan di peringkat pertama atas:</w:t>
            </w:r>
          </w:p>
        </w:tc>
      </w:tr>
      <w:tr>
        <w:tblPrEx>
          <w:tblCellMar>
            <w:top w:w="0" w:type="dxa"/>
            <w:left w:w="108" w:type="dxa"/>
            <w:bottom w:w="0" w:type="dxa"/>
            <w:right w:w="108" w:type="dxa"/>
          </w:tblCellMar>
        </w:tblPrEx>
        <w:tc>
          <w:tcPr>
            <w:tcW w:w="2050" w:type="pct"/>
            <w:vMerge w:val="continue"/>
          </w:tcPr>
          <w:p>
            <w:pPr>
              <w:pStyle w:val="3"/>
              <w:widowControl w:val="0"/>
              <w:spacing w:after="120"/>
              <w:jc w:val="left"/>
              <w:rPr>
                <w:rFonts w:ascii="Arial" w:hAnsi="Arial" w:cs="Arial"/>
                <w:b/>
                <w:bCs/>
                <w:sz w:val="21"/>
                <w:szCs w:val="21"/>
              </w:rPr>
            </w:pPr>
          </w:p>
        </w:tc>
        <w:tc>
          <w:tcPr>
            <w:tcW w:w="2950" w:type="pct"/>
          </w:tcPr>
          <w:p>
            <w:pPr>
              <w:pStyle w:val="57"/>
              <w:numPr>
                <w:ilvl w:val="1"/>
                <w:numId w:val="28"/>
              </w:numPr>
              <w:spacing w:after="120"/>
              <w:rPr>
                <w:rFonts w:ascii="Arial" w:hAnsi="Arial" w:cs="Arial"/>
                <w:sz w:val="21"/>
                <w:szCs w:val="21"/>
              </w:rPr>
            </w:pPr>
            <w:r>
              <w:rPr>
                <w:rFonts w:ascii="Arial" w:hAnsi="Arial" w:cs="Arial"/>
                <w:sz w:val="21"/>
                <w:szCs w:val="21"/>
              </w:rPr>
              <w:t>[semua kepentingan Perusahaan Proyek di lokasi dan semua bangunan, pabrik dan mesin tetap yang terdapat di dalamnya atau terletak di atasnya];</w:t>
            </w:r>
          </w:p>
        </w:tc>
      </w:tr>
      <w:tr>
        <w:tblPrEx>
          <w:tblCellMar>
            <w:top w:w="0" w:type="dxa"/>
            <w:left w:w="108" w:type="dxa"/>
            <w:bottom w:w="0" w:type="dxa"/>
            <w:right w:w="108" w:type="dxa"/>
          </w:tblCellMar>
        </w:tblPrEx>
        <w:tc>
          <w:tcPr>
            <w:tcW w:w="2050" w:type="pct"/>
            <w:vMerge w:val="continue"/>
          </w:tcPr>
          <w:p>
            <w:pPr>
              <w:pStyle w:val="3"/>
              <w:widowControl w:val="0"/>
              <w:spacing w:after="120"/>
              <w:jc w:val="left"/>
              <w:rPr>
                <w:rFonts w:ascii="Arial" w:hAnsi="Arial" w:cs="Arial"/>
                <w:b/>
                <w:bCs/>
                <w:sz w:val="21"/>
                <w:szCs w:val="21"/>
              </w:rPr>
            </w:pPr>
          </w:p>
        </w:tc>
        <w:tc>
          <w:tcPr>
            <w:tcW w:w="2950" w:type="pct"/>
          </w:tcPr>
          <w:p>
            <w:pPr>
              <w:pStyle w:val="57"/>
              <w:spacing w:after="120"/>
              <w:rPr>
                <w:rFonts w:ascii="Arial" w:hAnsi="Arial" w:cs="Arial"/>
                <w:sz w:val="21"/>
                <w:szCs w:val="21"/>
              </w:rPr>
            </w:pPr>
            <w:r>
              <w:rPr>
                <w:rFonts w:ascii="Arial" w:hAnsi="Arial" w:cs="Arial"/>
                <w:sz w:val="21"/>
                <w:szCs w:val="21"/>
              </w:rPr>
              <w:t>[semua hak, hak kepemilikan dan kepentingan Perusahaan Proyek atas dan terhadap Dokumen-dokumen Proyek];</w:t>
            </w:r>
          </w:p>
          <w:p>
            <w:pPr>
              <w:pStyle w:val="57"/>
              <w:widowControl w:val="0"/>
              <w:spacing w:after="120"/>
              <w:rPr>
                <w:rFonts w:ascii="Arial" w:hAnsi="Arial" w:cs="Arial"/>
                <w:sz w:val="21"/>
                <w:szCs w:val="21"/>
              </w:rPr>
            </w:pPr>
            <w:r>
              <w:rPr>
                <w:rFonts w:ascii="Arial" w:hAnsi="Arial" w:cs="Arial"/>
                <w:sz w:val="21"/>
                <w:szCs w:val="21"/>
              </w:rPr>
              <w:t>[Rekening-rekening Proyek] [(yang tidak mencakup Rekening Distribusi)]</w:t>
            </w:r>
            <w:r>
              <w:rPr>
                <w:rStyle w:val="25"/>
                <w:rFonts w:ascii="Arial" w:hAnsi="Arial" w:cs="Arial"/>
                <w:sz w:val="21"/>
                <w:szCs w:val="21"/>
              </w:rPr>
              <w:footnoteReference w:id="92"/>
            </w:r>
            <w:bookmarkStart w:id="124" w:name="_9kMH2J6ZWu8EB7EL"/>
            <w:bookmarkStart w:id="125" w:name="_9kMH2H7ZVw8EB7AE"/>
            <w:r>
              <w:rPr>
                <w:rFonts w:ascii="Arial" w:hAnsi="Arial" w:cs="Arial"/>
                <w:sz w:val="21"/>
                <w:szCs w:val="21"/>
              </w:rPr>
              <w:t>]</w:t>
            </w:r>
            <w:bookmarkEnd w:id="124"/>
            <w:bookmarkEnd w:id="125"/>
            <w:r>
              <w:rPr>
                <w:rFonts w:ascii="Arial" w:hAnsi="Arial" w:cs="Arial"/>
                <w:sz w:val="21"/>
                <w:szCs w:val="21"/>
              </w:rPr>
              <w:t>;</w:t>
            </w:r>
          </w:p>
        </w:tc>
      </w:tr>
      <w:tr>
        <w:tblPrEx>
          <w:tblCellMar>
            <w:top w:w="0" w:type="dxa"/>
            <w:left w:w="108" w:type="dxa"/>
            <w:bottom w:w="0" w:type="dxa"/>
            <w:right w:w="108" w:type="dxa"/>
          </w:tblCellMar>
        </w:tblPrEx>
        <w:tc>
          <w:tcPr>
            <w:tcW w:w="2050" w:type="pct"/>
            <w:vMerge w:val="continue"/>
          </w:tcPr>
          <w:p>
            <w:pPr>
              <w:pStyle w:val="3"/>
              <w:widowControl w:val="0"/>
              <w:spacing w:after="120"/>
              <w:jc w:val="left"/>
              <w:rPr>
                <w:rFonts w:ascii="Arial" w:hAnsi="Arial" w:cs="Arial"/>
                <w:b/>
                <w:bCs/>
                <w:sz w:val="21"/>
                <w:szCs w:val="21"/>
              </w:rPr>
            </w:pPr>
          </w:p>
        </w:tc>
        <w:tc>
          <w:tcPr>
            <w:tcW w:w="2950" w:type="pct"/>
          </w:tcPr>
          <w:p>
            <w:pPr>
              <w:pStyle w:val="57"/>
              <w:spacing w:after="120"/>
              <w:rPr>
                <w:rFonts w:ascii="Arial" w:hAnsi="Arial" w:cs="Arial"/>
                <w:sz w:val="21"/>
                <w:szCs w:val="21"/>
              </w:rPr>
            </w:pPr>
            <w:r>
              <w:rPr>
                <w:rFonts w:ascii="Arial" w:hAnsi="Arial" w:cs="Arial"/>
                <w:sz w:val="21"/>
                <w:szCs w:val="21"/>
              </w:rPr>
              <w:t>[seluruh saham di Perusahaan Proyek];</w:t>
            </w:r>
          </w:p>
        </w:tc>
      </w:tr>
      <w:tr>
        <w:tblPrEx>
          <w:tblCellMar>
            <w:top w:w="0" w:type="dxa"/>
            <w:left w:w="108" w:type="dxa"/>
            <w:bottom w:w="0" w:type="dxa"/>
            <w:right w:w="108" w:type="dxa"/>
          </w:tblCellMar>
        </w:tblPrEx>
        <w:tc>
          <w:tcPr>
            <w:tcW w:w="2050" w:type="pct"/>
            <w:vMerge w:val="continue"/>
          </w:tcPr>
          <w:p>
            <w:pPr>
              <w:pStyle w:val="3"/>
              <w:widowControl w:val="0"/>
              <w:spacing w:after="120"/>
              <w:jc w:val="left"/>
              <w:rPr>
                <w:rFonts w:ascii="Arial" w:hAnsi="Arial" w:cs="Arial"/>
                <w:b/>
                <w:bCs/>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[Perjanjian Pinjaman Pemegang Saham];</w:t>
            </w:r>
          </w:p>
        </w:tc>
      </w:tr>
      <w:tr>
        <w:tblPrEx>
          <w:tblCellMar>
            <w:top w:w="0" w:type="dxa"/>
            <w:left w:w="108" w:type="dxa"/>
            <w:bottom w:w="0" w:type="dxa"/>
            <w:right w:w="108" w:type="dxa"/>
          </w:tblCellMar>
        </w:tblPrEx>
        <w:tc>
          <w:tcPr>
            <w:tcW w:w="2050" w:type="pct"/>
            <w:vMerge w:val="continue"/>
          </w:tcPr>
          <w:p>
            <w:pPr>
              <w:pStyle w:val="3"/>
              <w:widowControl w:val="0"/>
              <w:spacing w:after="120"/>
              <w:jc w:val="left"/>
              <w:rPr>
                <w:rFonts w:ascii="Arial" w:hAnsi="Arial" w:cs="Arial"/>
                <w:b/>
                <w:bCs/>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[Perjanjian-perjanjian Lindung Nilai];</w:t>
            </w:r>
          </w:p>
        </w:tc>
      </w:tr>
      <w:tr>
        <w:tblPrEx>
          <w:tblCellMar>
            <w:top w:w="0" w:type="dxa"/>
            <w:left w:w="108" w:type="dxa"/>
            <w:bottom w:w="0" w:type="dxa"/>
            <w:right w:w="108" w:type="dxa"/>
          </w:tblCellMar>
        </w:tblPrEx>
        <w:tc>
          <w:tcPr>
            <w:tcW w:w="2050" w:type="pct"/>
            <w:vMerge w:val="continue"/>
          </w:tcPr>
          <w:p>
            <w:pPr>
              <w:pStyle w:val="3"/>
              <w:widowControl w:val="0"/>
              <w:spacing w:after="120"/>
              <w:jc w:val="left"/>
              <w:rPr>
                <w:rFonts w:ascii="Arial" w:hAnsi="Arial" w:cs="Arial"/>
                <w:b/>
                <w:bCs/>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[asuransi-asuransi dan reasuransi-reasuransi];</w:t>
            </w:r>
          </w:p>
        </w:tc>
      </w:tr>
      <w:tr>
        <w:tblPrEx>
          <w:tblCellMar>
            <w:top w:w="0" w:type="dxa"/>
            <w:left w:w="108" w:type="dxa"/>
            <w:bottom w:w="0" w:type="dxa"/>
            <w:right w:w="108" w:type="dxa"/>
          </w:tblCellMar>
        </w:tblPrEx>
        <w:tc>
          <w:tcPr>
            <w:tcW w:w="2050" w:type="pct"/>
            <w:vMerge w:val="continue"/>
          </w:tcPr>
          <w:p>
            <w:pPr>
              <w:pStyle w:val="3"/>
              <w:widowControl w:val="0"/>
              <w:spacing w:after="120"/>
              <w:jc w:val="left"/>
              <w:rPr>
                <w:rFonts w:ascii="Arial" w:hAnsi="Arial" w:cs="Arial"/>
                <w:b/>
                <w:bCs/>
                <w:sz w:val="21"/>
                <w:szCs w:val="21"/>
              </w:rPr>
            </w:pPr>
          </w:p>
        </w:tc>
        <w:tc>
          <w:tcPr>
            <w:tcW w:w="2950" w:type="pct"/>
          </w:tcPr>
          <w:p>
            <w:pPr>
              <w:pStyle w:val="57"/>
              <w:spacing w:after="120"/>
              <w:rPr>
                <w:rFonts w:ascii="Arial" w:hAnsi="Arial" w:cs="Arial"/>
                <w:sz w:val="21"/>
                <w:szCs w:val="21"/>
              </w:rPr>
            </w:pPr>
            <w:r>
              <w:rPr>
                <w:rFonts w:ascii="Arial" w:hAnsi="Arial" w:cs="Arial"/>
                <w:sz w:val="21"/>
                <w:szCs w:val="21"/>
              </w:rPr>
              <w:t xml:space="preserve">[semua aset dan </w:t>
            </w:r>
            <w:r>
              <w:rPr>
                <w:rFonts w:ascii="Arial" w:hAnsi="Arial" w:cs="Arial"/>
                <w:sz w:val="21"/>
                <w:szCs w:val="21"/>
                <w:lang w:val="en-US"/>
              </w:rPr>
              <w:t xml:space="preserve">usaha </w:t>
            </w:r>
            <w:r>
              <w:rPr>
                <w:rFonts w:ascii="Arial" w:hAnsi="Arial" w:cs="Arial"/>
                <w:sz w:val="21"/>
                <w:szCs w:val="21"/>
              </w:rPr>
              <w:t>Perusahaan Proyek]; [dan]</w:t>
            </w:r>
          </w:p>
        </w:tc>
      </w:tr>
      <w:tr>
        <w:tblPrEx>
          <w:tblCellMar>
            <w:top w:w="0" w:type="dxa"/>
            <w:left w:w="108" w:type="dxa"/>
            <w:bottom w:w="0" w:type="dxa"/>
            <w:right w:w="108" w:type="dxa"/>
          </w:tblCellMar>
        </w:tblPrEx>
        <w:tc>
          <w:tcPr>
            <w:tcW w:w="2050" w:type="pct"/>
            <w:vMerge w:val="continue"/>
          </w:tcPr>
          <w:p>
            <w:pPr>
              <w:pStyle w:val="3"/>
              <w:widowControl w:val="0"/>
              <w:spacing w:after="120"/>
              <w:jc w:val="left"/>
              <w:rPr>
                <w:rFonts w:ascii="Arial" w:hAnsi="Arial" w:cs="Arial"/>
                <w:b/>
                <w:bCs/>
                <w:sz w:val="21"/>
                <w:szCs w:val="21"/>
              </w:rPr>
            </w:pPr>
          </w:p>
        </w:tc>
        <w:tc>
          <w:tcPr>
            <w:tcW w:w="2950" w:type="pct"/>
          </w:tcPr>
          <w:p>
            <w:pPr>
              <w:pStyle w:val="57"/>
              <w:widowControl w:val="0"/>
              <w:spacing w:after="120"/>
              <w:rPr>
                <w:rFonts w:ascii="Arial" w:hAnsi="Arial" w:cs="Arial"/>
                <w:sz w:val="21"/>
                <w:szCs w:val="21"/>
              </w:rPr>
            </w:pPr>
            <w:r>
              <w:rPr>
                <w:rFonts w:ascii="Arial" w:hAnsi="Arial" w:cs="Arial"/>
                <w:sz w:val="21"/>
                <w:szCs w:val="21"/>
              </w:rPr>
              <w:t>[</w:t>
            </w:r>
            <w:r>
              <w:rPr>
                <w:rFonts w:ascii="Arial" w:hAnsi="Arial" w:cs="Arial"/>
                <w:i/>
                <w:iCs/>
                <w:sz w:val="21"/>
                <w:szCs w:val="21"/>
              </w:rPr>
              <w:t>lain-lain</w:t>
            </w:r>
            <w:r>
              <w:rPr>
                <w:rFonts w:ascii="Arial" w:hAnsi="Arial" w:cs="Arial"/>
                <w:sz w:val="21"/>
                <w:szCs w:val="21"/>
              </w:rPr>
              <w:t>]</w:t>
            </w:r>
            <w:r>
              <w:rPr>
                <w:rStyle w:val="25"/>
                <w:rFonts w:ascii="Arial" w:hAnsi="Arial" w:cs="Arial"/>
                <w:sz w:val="21"/>
                <w:szCs w:val="21"/>
              </w:rPr>
              <w:footnoteReference w:id="93"/>
            </w:r>
            <w:r>
              <w:rPr>
                <w:rFonts w:ascii="Arial" w:hAnsi="Arial" w:cs="Arial"/>
                <w:sz w:val="21"/>
                <w:szCs w:val="21"/>
              </w:rPr>
              <w:t>.</w:t>
            </w:r>
          </w:p>
        </w:tc>
      </w:tr>
    </w:tbl>
    <w:p>
      <w:pPr>
        <w:widowControl w:val="0"/>
        <w:spacing w:after="120"/>
        <w:rPr>
          <w:rFonts w:ascii="Arial" w:hAnsi="Arial" w:cs="Arial"/>
          <w:sz w:val="21"/>
          <w:szCs w:val="21"/>
        </w:rPr>
      </w:pPr>
    </w:p>
    <w:p>
      <w:pPr>
        <w:pStyle w:val="107"/>
        <w:pageBreakBefore/>
        <w:spacing w:after="120"/>
        <w:rPr>
          <w:rFonts w:ascii="Arial" w:hAnsi="Arial" w:cs="Arial"/>
          <w:b w:val="0"/>
          <w:sz w:val="21"/>
          <w:szCs w:val="21"/>
        </w:rPr>
      </w:pPr>
      <w:bookmarkStart w:id="126" w:name="_Toc74860688"/>
      <w:bookmarkStart w:id="127" w:name="_Toc74557542"/>
      <w:r>
        <w:rPr>
          <w:rFonts w:ascii="Arial" w:hAnsi="Arial" w:cs="Arial"/>
          <w:sz w:val="21"/>
          <w:szCs w:val="21"/>
        </w:rPr>
        <w:t>REKENING-REKENING PROYEK</w:t>
      </w:r>
      <w:bookmarkEnd w:id="126"/>
      <w:bookmarkEnd w:id="127"/>
    </w:p>
    <w:tbl>
      <w:tblPr>
        <w:tblStyle w:val="17"/>
        <w:tblW w:w="5000" w:type="pct"/>
        <w:tblInd w:w="0" w:type="dxa"/>
        <w:tblLayout w:type="autofit"/>
        <w:tblCellMar>
          <w:top w:w="0" w:type="dxa"/>
          <w:left w:w="108" w:type="dxa"/>
          <w:bottom w:w="0" w:type="dxa"/>
          <w:right w:w="108" w:type="dxa"/>
        </w:tblCellMar>
      </w:tblPr>
      <w:tblGrid>
        <w:gridCol w:w="3642"/>
        <w:gridCol w:w="5241"/>
      </w:tblGrid>
      <w:tr>
        <w:tblPrEx>
          <w:tblCellMar>
            <w:top w:w="0" w:type="dxa"/>
            <w:left w:w="108" w:type="dxa"/>
            <w:bottom w:w="0" w:type="dxa"/>
            <w:right w:w="108" w:type="dxa"/>
          </w:tblCellMar>
        </w:tblPrEx>
        <w:tc>
          <w:tcPr>
            <w:tcW w:w="2050" w:type="pct"/>
          </w:tcPr>
          <w:p>
            <w:pPr>
              <w:pStyle w:val="105"/>
              <w:keepNext w:val="0"/>
              <w:tabs>
                <w:tab w:val="clear" w:pos="720"/>
              </w:tabs>
              <w:spacing w:after="120"/>
              <w:rPr>
                <w:rFonts w:ascii="Arial" w:hAnsi="Arial" w:cs="Arial"/>
                <w:b w:val="0"/>
                <w:sz w:val="21"/>
                <w:szCs w:val="21"/>
              </w:rPr>
            </w:pPr>
            <w:bookmarkStart w:id="128" w:name="_Toc74557543"/>
            <w:bookmarkStart w:id="129" w:name="_Toc74860689"/>
            <w:r>
              <w:rPr>
                <w:rFonts w:ascii="Arial" w:hAnsi="Arial" w:cs="Arial"/>
                <w:sz w:val="21"/>
                <w:szCs w:val="21"/>
              </w:rPr>
              <w:t>Rekening-rekening Proyek</w:t>
            </w:r>
            <w:bookmarkStart w:id="130" w:name="_Ref31190114"/>
            <w:r>
              <w:rPr>
                <w:rStyle w:val="25"/>
                <w:rFonts w:ascii="Arial" w:hAnsi="Arial" w:cs="Arial"/>
                <w:b w:val="0"/>
                <w:sz w:val="21"/>
                <w:szCs w:val="21"/>
              </w:rPr>
              <w:footnoteReference w:id="94"/>
            </w:r>
            <w:bookmarkEnd w:id="130"/>
            <w:r>
              <w:rPr>
                <w:rFonts w:ascii="Arial" w:hAnsi="Arial" w:cs="Arial"/>
                <w:sz w:val="21"/>
                <w:szCs w:val="21"/>
              </w:rPr>
              <w:t>:</w:t>
            </w:r>
            <w:bookmarkEnd w:id="128"/>
            <w:bookmarkEnd w:id="129"/>
          </w:p>
        </w:tc>
        <w:tc>
          <w:tcPr>
            <w:tcW w:w="2950" w:type="pct"/>
          </w:tcPr>
          <w:p>
            <w:pPr>
              <w:pStyle w:val="59"/>
              <w:spacing w:after="120"/>
              <w:rPr>
                <w:rFonts w:ascii="Arial" w:hAnsi="Arial" w:cs="Arial"/>
                <w:sz w:val="21"/>
                <w:szCs w:val="21"/>
              </w:rPr>
            </w:pPr>
            <w:r>
              <w:rPr>
                <w:rFonts w:ascii="Arial" w:hAnsi="Arial" w:cs="Arial"/>
                <w:sz w:val="21"/>
                <w:szCs w:val="21"/>
              </w:rPr>
              <w:t>Perusahaan Proyek akan diminta untuk membuat dan memelihara Rekening-rekening Proyek [dalam negeri dan luar negeri]</w:t>
            </w:r>
            <w:r>
              <w:rPr>
                <w:rStyle w:val="25"/>
                <w:rFonts w:ascii="Arial" w:hAnsi="Arial" w:cs="Arial"/>
                <w:sz w:val="21"/>
                <w:szCs w:val="21"/>
              </w:rPr>
              <w:footnoteReference w:id="95"/>
            </w:r>
            <w:r>
              <w:rPr>
                <w:rFonts w:ascii="Arial" w:hAnsi="Arial" w:cs="Arial"/>
                <w:sz w:val="21"/>
                <w:szCs w:val="21"/>
              </w:rPr>
              <w:t xml:space="preserve"> sehubungan dengan arus kas Proyek, antara lain:</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57"/>
              <w:widowControl w:val="0"/>
              <w:numPr>
                <w:ilvl w:val="1"/>
                <w:numId w:val="29"/>
              </w:numPr>
              <w:tabs>
                <w:tab w:val="clear" w:pos="720"/>
              </w:tabs>
              <w:spacing w:after="120"/>
              <w:rPr>
                <w:rFonts w:ascii="Arial" w:hAnsi="Arial" w:cs="Arial"/>
                <w:sz w:val="21"/>
                <w:szCs w:val="21"/>
              </w:rPr>
            </w:pPr>
            <w:r>
              <w:rPr>
                <w:rFonts w:ascii="Arial" w:hAnsi="Arial" w:cs="Arial"/>
                <w:sz w:val="21"/>
                <w:szCs w:val="21"/>
              </w:rPr>
              <w:t>Rekening Pencairan;</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57"/>
              <w:widowControl w:val="0"/>
              <w:numPr>
                <w:ilvl w:val="1"/>
                <w:numId w:val="30"/>
              </w:numPr>
              <w:tabs>
                <w:tab w:val="clear" w:pos="720"/>
              </w:tabs>
              <w:spacing w:after="120"/>
              <w:rPr>
                <w:rFonts w:ascii="Arial" w:hAnsi="Arial" w:cs="Arial"/>
                <w:sz w:val="21"/>
                <w:szCs w:val="21"/>
              </w:rPr>
            </w:pPr>
            <w:r>
              <w:rPr>
                <w:rFonts w:ascii="Arial" w:hAnsi="Arial" w:cs="Arial"/>
                <w:sz w:val="21"/>
                <w:szCs w:val="21"/>
              </w:rPr>
              <w:t>Rekening Operasional;</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57"/>
              <w:widowControl w:val="0"/>
              <w:numPr>
                <w:ilvl w:val="1"/>
                <w:numId w:val="31"/>
              </w:numPr>
              <w:tabs>
                <w:tab w:val="clear" w:pos="720"/>
              </w:tabs>
              <w:spacing w:after="120"/>
              <w:rPr>
                <w:rFonts w:ascii="Arial" w:hAnsi="Arial" w:cs="Arial"/>
                <w:sz w:val="21"/>
                <w:szCs w:val="21"/>
              </w:rPr>
            </w:pPr>
            <w:r>
              <w:rPr>
                <w:rFonts w:ascii="Arial" w:hAnsi="Arial" w:cs="Arial"/>
                <w:sz w:val="21"/>
                <w:szCs w:val="21"/>
              </w:rPr>
              <w:t>Rekening Kompensasi dan Hasil-hasil Klaim Asuransi;</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57"/>
              <w:widowControl w:val="0"/>
              <w:numPr>
                <w:ilvl w:val="1"/>
                <w:numId w:val="32"/>
              </w:numPr>
              <w:tabs>
                <w:tab w:val="clear" w:pos="720"/>
              </w:tabs>
              <w:spacing w:after="120"/>
              <w:rPr>
                <w:rFonts w:ascii="Arial" w:hAnsi="Arial" w:cs="Arial"/>
                <w:sz w:val="21"/>
                <w:szCs w:val="21"/>
              </w:rPr>
            </w:pPr>
            <w:r>
              <w:rPr>
                <w:rFonts w:ascii="Arial" w:hAnsi="Arial" w:cs="Arial"/>
                <w:i/>
                <w:sz w:val="21"/>
                <w:szCs w:val="21"/>
              </w:rPr>
              <w:t>Debt Service Reserve Account</w:t>
            </w:r>
            <w:r>
              <w:rPr>
                <w:rFonts w:ascii="Arial" w:hAnsi="Arial" w:cs="Arial"/>
                <w:sz w:val="21"/>
                <w:szCs w:val="21"/>
              </w:rPr>
              <w:t>;</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57"/>
              <w:widowControl w:val="0"/>
              <w:numPr>
                <w:ilvl w:val="1"/>
                <w:numId w:val="33"/>
              </w:numPr>
              <w:tabs>
                <w:tab w:val="clear" w:pos="720"/>
              </w:tabs>
              <w:spacing w:after="120"/>
              <w:rPr>
                <w:rFonts w:ascii="Arial" w:hAnsi="Arial" w:cs="Arial"/>
                <w:sz w:val="21"/>
                <w:szCs w:val="21"/>
              </w:rPr>
            </w:pPr>
            <w:r>
              <w:rPr>
                <w:rFonts w:ascii="Arial" w:hAnsi="Arial" w:cs="Arial"/>
                <w:sz w:val="21"/>
                <w:szCs w:val="21"/>
              </w:rPr>
              <w:t>[</w:t>
            </w:r>
            <w:r>
              <w:rPr>
                <w:rFonts w:ascii="Arial" w:hAnsi="Arial" w:cs="Arial"/>
                <w:i/>
                <w:sz w:val="21"/>
                <w:szCs w:val="21"/>
              </w:rPr>
              <w:t>Maintenance Reserve Account</w:t>
            </w:r>
            <w:r>
              <w:rPr>
                <w:rFonts w:ascii="Arial" w:hAnsi="Arial" w:cs="Arial"/>
                <w:sz w:val="21"/>
                <w:szCs w:val="21"/>
              </w:rPr>
              <w:t>;] and</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57"/>
              <w:widowControl w:val="0"/>
              <w:numPr>
                <w:ilvl w:val="1"/>
                <w:numId w:val="34"/>
              </w:numPr>
              <w:tabs>
                <w:tab w:val="clear" w:pos="720"/>
              </w:tabs>
              <w:spacing w:after="120"/>
              <w:rPr>
                <w:rFonts w:ascii="Arial" w:hAnsi="Arial" w:cs="Arial"/>
                <w:sz w:val="21"/>
                <w:szCs w:val="21"/>
              </w:rPr>
            </w:pPr>
            <w:r>
              <w:rPr>
                <w:rFonts w:ascii="Arial" w:hAnsi="Arial" w:cs="Arial"/>
                <w:sz w:val="21"/>
                <w:szCs w:val="21"/>
              </w:rPr>
              <w:t>Rekening Distribusi</w:t>
            </w:r>
          </w:p>
        </w:tc>
      </w:tr>
      <w:tr>
        <w:tblPrEx>
          <w:tblCellMar>
            <w:top w:w="0" w:type="dxa"/>
            <w:left w:w="108" w:type="dxa"/>
            <w:bottom w:w="0" w:type="dxa"/>
            <w:right w:w="108" w:type="dxa"/>
          </w:tblCellMar>
        </w:tblPrEx>
        <w:tc>
          <w:tcPr>
            <w:tcW w:w="2050" w:type="pct"/>
          </w:tcPr>
          <w:p>
            <w:pPr>
              <w:pStyle w:val="105"/>
              <w:keepNext w:val="0"/>
              <w:tabs>
                <w:tab w:val="clear" w:pos="720"/>
              </w:tabs>
              <w:spacing w:after="120"/>
              <w:rPr>
                <w:rFonts w:ascii="Arial" w:hAnsi="Arial" w:cs="Arial"/>
                <w:b w:val="0"/>
                <w:sz w:val="21"/>
                <w:szCs w:val="21"/>
              </w:rPr>
            </w:pPr>
            <w:bookmarkStart w:id="131" w:name="_Toc74557544"/>
            <w:bookmarkStart w:id="132" w:name="_Toc74860690"/>
            <w:r>
              <w:rPr>
                <w:rFonts w:ascii="Arial" w:hAnsi="Arial" w:cs="Arial"/>
                <w:sz w:val="21"/>
                <w:szCs w:val="21"/>
              </w:rPr>
              <w:t>Rekening Pencairan</w:t>
            </w:r>
            <w:r>
              <w:rPr>
                <w:rStyle w:val="25"/>
                <w:rFonts w:ascii="Arial" w:hAnsi="Arial" w:cs="Arial"/>
                <w:b w:val="0"/>
                <w:sz w:val="21"/>
                <w:szCs w:val="21"/>
              </w:rPr>
              <w:footnoteReference w:id="96"/>
            </w:r>
            <w:r>
              <w:rPr>
                <w:rFonts w:ascii="Arial" w:hAnsi="Arial" w:cs="Arial"/>
                <w:sz w:val="21"/>
                <w:szCs w:val="21"/>
              </w:rPr>
              <w:t>:</w:t>
            </w:r>
            <w:bookmarkEnd w:id="131"/>
            <w:bookmarkEnd w:id="132"/>
          </w:p>
        </w:tc>
        <w:tc>
          <w:tcPr>
            <w:tcW w:w="2950" w:type="pct"/>
          </w:tcPr>
          <w:p>
            <w:pPr>
              <w:spacing w:after="120"/>
              <w:rPr>
                <w:rFonts w:ascii="Arial" w:hAnsi="Arial" w:cs="Arial"/>
                <w:sz w:val="21"/>
                <w:szCs w:val="21"/>
                <w:lang w:eastAsia="en-GB"/>
              </w:rPr>
            </w:pPr>
            <w:r>
              <w:rPr>
                <w:rFonts w:ascii="Arial" w:hAnsi="Arial" w:cs="Arial"/>
                <w:b/>
                <w:bCs/>
                <w:i/>
                <w:iCs/>
                <w:sz w:val="21"/>
                <w:szCs w:val="21"/>
              </w:rPr>
              <w:t>Kredit-kredit</w:t>
            </w:r>
            <w:r>
              <w:rPr>
                <w:rFonts w:ascii="Arial" w:hAnsi="Arial" w:cs="Arial"/>
                <w:sz w:val="21"/>
                <w:szCs w:val="21"/>
              </w:rPr>
              <w:t>:  Pinjaman-pinjaman, ekuitas, jumlah-jumlah yang diterima berdasarkan perjanjian-perjanjian lindung nilai sebelum Tanggal Penyelesaian Proyek, pendapatan-pendapatan proyek (jika ada) yang diterima sebelum Tanggal Penyelesaian Proyek</w:t>
            </w:r>
            <w:r>
              <w:rPr>
                <w:rStyle w:val="25"/>
                <w:rFonts w:ascii="Arial" w:hAnsi="Arial" w:cs="Arial"/>
                <w:sz w:val="21"/>
                <w:szCs w:val="21"/>
              </w:rPr>
              <w:footnoteReference w:id="97"/>
            </w:r>
            <w:r>
              <w:rPr>
                <w:rFonts w:ascii="Arial" w:hAnsi="Arial" w:cs="Arial"/>
                <w:sz w:val="21"/>
                <w:szCs w:val="21"/>
              </w:rPr>
              <w:t xml:space="preserve"> dan seluruh jumlah lain yang diterima sebelum Tanggal Penyelesaian Proyek yang tidak wajib dibayarkan ke rekening lain manapun.</w:t>
            </w:r>
          </w:p>
        </w:tc>
      </w:tr>
      <w:tr>
        <w:tblPrEx>
          <w:tblCellMar>
            <w:top w:w="0" w:type="dxa"/>
            <w:left w:w="108" w:type="dxa"/>
            <w:bottom w:w="0" w:type="dxa"/>
            <w:right w:w="108" w:type="dxa"/>
          </w:tblCellMar>
        </w:tblPrEx>
        <w:tc>
          <w:tcPr>
            <w:tcW w:w="2050" w:type="pct"/>
          </w:tcPr>
          <w:p>
            <w:pPr>
              <w:pStyle w:val="105"/>
              <w:keepNext w:val="0"/>
              <w:numPr>
                <w:ilvl w:val="0"/>
                <w:numId w:val="0"/>
              </w:numPr>
              <w:spacing w:after="120"/>
              <w:ind w:left="720" w:hanging="720"/>
              <w:rPr>
                <w:rFonts w:ascii="Arial" w:hAnsi="Arial" w:cs="Arial"/>
                <w:b w:val="0"/>
                <w:bCs/>
                <w:sz w:val="21"/>
                <w:szCs w:val="21"/>
              </w:rPr>
            </w:pPr>
          </w:p>
        </w:tc>
        <w:tc>
          <w:tcPr>
            <w:tcW w:w="2950" w:type="pct"/>
          </w:tcPr>
          <w:p>
            <w:pPr>
              <w:spacing w:after="120"/>
              <w:rPr>
                <w:rFonts w:ascii="Arial" w:hAnsi="Arial" w:cs="Arial"/>
                <w:bCs/>
                <w:i/>
                <w:iCs/>
                <w:sz w:val="21"/>
                <w:szCs w:val="21"/>
              </w:rPr>
            </w:pPr>
            <w:r>
              <w:rPr>
                <w:rFonts w:ascii="Arial" w:hAnsi="Arial" w:eastAsia="Times New Roman" w:cs="Arial"/>
                <w:b/>
                <w:i/>
                <w:sz w:val="21"/>
                <w:szCs w:val="21"/>
              </w:rPr>
              <w:t>Penarikan-penarikan</w:t>
            </w:r>
            <w:r>
              <w:rPr>
                <w:rFonts w:ascii="Arial" w:hAnsi="Arial" w:eastAsia="Times New Roman" w:cs="Arial"/>
                <w:sz w:val="21"/>
                <w:szCs w:val="21"/>
              </w:rPr>
              <w:t>: Untuk membayar Biaya-biaya Proyek (sebelum [Tanggal Penyelesaian Proyek]) – maka setiap jumlah yang tersisa pada [Tanggal Penyelesaian Proyek] yang akan dialihkan ke dalam Rekening Operasional [setelah mencadangkan jumlah-jumlah retensi yang harus dibayar berdasarkan Kontrak Konstruksi</w:t>
            </w:r>
            <w:r>
              <w:rPr>
                <w:rFonts w:ascii="Arial" w:hAnsi="Arial" w:cs="Arial"/>
                <w:sz w:val="21"/>
                <w:szCs w:val="21"/>
              </w:rPr>
              <w:t>].</w:t>
            </w:r>
          </w:p>
        </w:tc>
      </w:tr>
      <w:tr>
        <w:tblPrEx>
          <w:tblCellMar>
            <w:top w:w="0" w:type="dxa"/>
            <w:left w:w="108" w:type="dxa"/>
            <w:bottom w:w="0" w:type="dxa"/>
            <w:right w:w="108" w:type="dxa"/>
          </w:tblCellMar>
        </w:tblPrEx>
        <w:tc>
          <w:tcPr>
            <w:tcW w:w="2050" w:type="pct"/>
          </w:tcPr>
          <w:p>
            <w:pPr>
              <w:pStyle w:val="105"/>
              <w:keepNext w:val="0"/>
              <w:tabs>
                <w:tab w:val="clear" w:pos="720"/>
              </w:tabs>
              <w:spacing w:after="120"/>
              <w:rPr>
                <w:rFonts w:ascii="Arial" w:hAnsi="Arial" w:cs="Arial"/>
                <w:b w:val="0"/>
                <w:sz w:val="21"/>
                <w:szCs w:val="21"/>
              </w:rPr>
            </w:pPr>
            <w:bookmarkStart w:id="133" w:name="_Toc74860691"/>
            <w:bookmarkStart w:id="134" w:name="_Toc74557545"/>
            <w:r>
              <w:rPr>
                <w:rFonts w:ascii="Arial" w:hAnsi="Arial" w:cs="Arial"/>
                <w:sz w:val="21"/>
                <w:szCs w:val="21"/>
              </w:rPr>
              <w:t>Rekening Operasional</w:t>
            </w:r>
            <w:r>
              <w:rPr>
                <w:rStyle w:val="25"/>
                <w:rFonts w:ascii="Arial" w:hAnsi="Arial" w:cs="Arial"/>
                <w:sz w:val="21"/>
                <w:szCs w:val="21"/>
              </w:rPr>
              <w:footnoteReference w:id="98"/>
            </w:r>
            <w:r>
              <w:rPr>
                <w:rFonts w:ascii="Arial" w:hAnsi="Arial" w:cs="Arial"/>
                <w:sz w:val="21"/>
                <w:szCs w:val="21"/>
              </w:rPr>
              <w:t>:</w:t>
            </w:r>
            <w:bookmarkEnd w:id="133"/>
            <w:bookmarkEnd w:id="134"/>
          </w:p>
        </w:tc>
        <w:tc>
          <w:tcPr>
            <w:tcW w:w="2950" w:type="pct"/>
          </w:tcPr>
          <w:p>
            <w:pPr>
              <w:spacing w:after="120"/>
              <w:rPr>
                <w:rFonts w:ascii="Arial" w:hAnsi="Arial" w:eastAsia="Times New Roman" w:cs="Arial"/>
                <w:sz w:val="21"/>
                <w:szCs w:val="21"/>
              </w:rPr>
            </w:pPr>
            <w:r>
              <w:rPr>
                <w:rFonts w:ascii="Arial" w:hAnsi="Arial" w:eastAsia="Times New Roman" w:cs="Arial"/>
                <w:b/>
                <w:i/>
                <w:sz w:val="21"/>
                <w:szCs w:val="21"/>
              </w:rPr>
              <w:t>Kredit-kredit</w:t>
            </w:r>
            <w:r>
              <w:rPr>
                <w:rFonts w:ascii="Arial" w:hAnsi="Arial" w:eastAsia="Times New Roman" w:cs="Arial"/>
                <w:sz w:val="21"/>
                <w:szCs w:val="21"/>
              </w:rPr>
              <w:t xml:space="preserve">:  </w:t>
            </w:r>
            <w:bookmarkStart w:id="135" w:name="_Ref48281074"/>
            <w:r>
              <w:rPr>
                <w:rFonts w:ascii="Arial" w:hAnsi="Arial" w:eastAsia="Times New Roman" w:cs="Arial"/>
                <w:sz w:val="21"/>
                <w:szCs w:val="21"/>
              </w:rPr>
              <w:t>Pendapatan-pendapatan proyek</w:t>
            </w:r>
            <w:r>
              <w:rPr>
                <w:rStyle w:val="25"/>
                <w:rFonts w:ascii="Arial" w:hAnsi="Arial" w:eastAsia="Times New Roman" w:cs="Arial"/>
                <w:sz w:val="21"/>
                <w:szCs w:val="21"/>
              </w:rPr>
              <w:footnoteReference w:id="99"/>
            </w:r>
            <w:bookmarkEnd w:id="135"/>
            <w:r>
              <w:rPr>
                <w:rFonts w:ascii="Arial" w:hAnsi="Arial" w:eastAsia="Times New Roman" w:cs="Arial"/>
                <w:sz w:val="21"/>
                <w:szCs w:val="21"/>
              </w:rPr>
              <w:t>, Pinjaman-pinjaman (jika ada), jumlah-jumlah yang diterima berdasarkan Perjanjian-perjanjian Lindung Nilai, hasil-hasil klaim asuransi yang diterima sehubungan dengan asuransi risiko kehilangan pendapatan atau asuransi pihak ketiga (jika hal tersebut mengganti jumlah-jumlah yang telah dibayarkan oleh Perusahaan Proyek kepada para pihak ketiga), [setiap keterlambatan atau ganti rugi yang ditetapkan nilainya bagi pemasok yang harus dibayarkan kepada Perusahaan Proyek sesuai dengan [Dokumen-dokumen Proyek], kecuali sepanjang yang dibayarkan sehubungan dengan kewajiban berdasarkan perjanjian [konsesi/</w:t>
            </w:r>
            <w:r>
              <w:rPr>
                <w:rFonts w:ascii="Arial" w:hAnsi="Arial" w:eastAsia="Times New Roman" w:cs="Arial"/>
                <w:i/>
                <w:sz w:val="21"/>
                <w:szCs w:val="21"/>
              </w:rPr>
              <w:t>offtake</w:t>
            </w:r>
            <w:r>
              <w:rPr>
                <w:rFonts w:ascii="Arial" w:hAnsi="Arial" w:eastAsia="Times New Roman" w:cs="Arial"/>
                <w:sz w:val="21"/>
                <w:szCs w:val="21"/>
              </w:rPr>
              <w:t xml:space="preserve">] dan semua jumlah lain yang diterima pada dan dari [Tanggal Penyelesaian Finansial] yang tidak </w:t>
            </w:r>
            <w:r>
              <w:rPr>
                <w:rFonts w:ascii="Arial" w:hAnsi="Arial" w:eastAsia="Times New Roman" w:cs="Arial"/>
                <w:sz w:val="21"/>
                <w:szCs w:val="21"/>
                <w:lang w:val="en-US"/>
              </w:rPr>
              <w:t xml:space="preserve">wajib </w:t>
            </w:r>
            <w:r>
              <w:rPr>
                <w:rFonts w:ascii="Arial" w:hAnsi="Arial" w:eastAsia="Times New Roman" w:cs="Arial"/>
                <w:sz w:val="21"/>
                <w:szCs w:val="21"/>
              </w:rPr>
              <w:t>dibayar ke rekening lain manapun.</w:t>
            </w:r>
          </w:p>
        </w:tc>
      </w:tr>
      <w:tr>
        <w:tblPrEx>
          <w:tblCellMar>
            <w:top w:w="0" w:type="dxa"/>
            <w:left w:w="108" w:type="dxa"/>
            <w:bottom w:w="0" w:type="dxa"/>
            <w:right w:w="108" w:type="dxa"/>
          </w:tblCellMar>
        </w:tblPrEx>
        <w:tc>
          <w:tcPr>
            <w:tcW w:w="2050" w:type="pct"/>
          </w:tcPr>
          <w:p>
            <w:pPr>
              <w:pStyle w:val="105"/>
              <w:keepNext w:val="0"/>
              <w:numPr>
                <w:ilvl w:val="0"/>
                <w:numId w:val="0"/>
              </w:numPr>
              <w:spacing w:after="120"/>
              <w:ind w:left="720" w:hanging="720"/>
              <w:rPr>
                <w:rFonts w:ascii="Arial" w:hAnsi="Arial" w:cs="Arial"/>
                <w:sz w:val="21"/>
                <w:szCs w:val="21"/>
              </w:rPr>
            </w:pPr>
          </w:p>
        </w:tc>
        <w:tc>
          <w:tcPr>
            <w:tcW w:w="2950" w:type="pct"/>
          </w:tcPr>
          <w:p>
            <w:pPr>
              <w:spacing w:after="120"/>
              <w:rPr>
                <w:rFonts w:ascii="Arial" w:hAnsi="Arial" w:eastAsia="Times New Roman" w:cs="Arial"/>
                <w:bCs/>
                <w:i/>
                <w:sz w:val="21"/>
                <w:szCs w:val="21"/>
              </w:rPr>
            </w:pPr>
            <w:r>
              <w:rPr>
                <w:rFonts w:ascii="Arial" w:hAnsi="Arial" w:eastAsia="Times New Roman" w:cs="Arial"/>
                <w:b/>
                <w:i/>
                <w:sz w:val="21"/>
                <w:szCs w:val="21"/>
              </w:rPr>
              <w:t>Penarikan-penarikan</w:t>
            </w:r>
            <w:r>
              <w:rPr>
                <w:rFonts w:ascii="Arial" w:hAnsi="Arial" w:eastAsia="Times New Roman" w:cs="Arial"/>
                <w:sz w:val="21"/>
                <w:szCs w:val="21"/>
              </w:rPr>
              <w:t xml:space="preserve">: Sesuai dengan </w:t>
            </w:r>
            <w:r>
              <w:rPr>
                <w:rFonts w:ascii="Arial" w:hAnsi="Arial" w:eastAsia="Times New Roman" w:cs="Arial"/>
                <w:i/>
                <w:sz w:val="21"/>
                <w:szCs w:val="21"/>
              </w:rPr>
              <w:t>Cashflow Waterfall</w:t>
            </w:r>
            <w:r>
              <w:rPr>
                <w:rFonts w:ascii="Arial" w:hAnsi="Arial" w:eastAsia="Times New Roman" w:cs="Arial"/>
                <w:sz w:val="21"/>
                <w:szCs w:val="21"/>
              </w:rPr>
              <w:t xml:space="preserve"> (lihat di bawah).</w:t>
            </w:r>
          </w:p>
        </w:tc>
      </w:tr>
      <w:tr>
        <w:tblPrEx>
          <w:tblCellMar>
            <w:top w:w="0" w:type="dxa"/>
            <w:left w:w="108" w:type="dxa"/>
            <w:bottom w:w="0" w:type="dxa"/>
            <w:right w:w="108" w:type="dxa"/>
          </w:tblCellMar>
        </w:tblPrEx>
        <w:tc>
          <w:tcPr>
            <w:tcW w:w="2050" w:type="pct"/>
          </w:tcPr>
          <w:p>
            <w:pPr>
              <w:pStyle w:val="105"/>
              <w:keepNext w:val="0"/>
              <w:tabs>
                <w:tab w:val="clear" w:pos="720"/>
              </w:tabs>
              <w:spacing w:after="120"/>
              <w:jc w:val="both"/>
              <w:rPr>
                <w:rFonts w:ascii="Arial" w:hAnsi="Arial" w:cs="Arial"/>
                <w:b w:val="0"/>
                <w:sz w:val="21"/>
                <w:szCs w:val="21"/>
              </w:rPr>
            </w:pPr>
            <w:bookmarkStart w:id="136" w:name="_9kMIH5YVt39A6FPUHy0ts7vx628D"/>
            <w:bookmarkStart w:id="137" w:name="_Toc74557546"/>
            <w:bookmarkStart w:id="138" w:name="_Toc74860692"/>
            <w:r>
              <w:rPr>
                <w:rFonts w:ascii="Arial" w:hAnsi="Arial" w:cs="Arial"/>
                <w:sz w:val="21"/>
                <w:szCs w:val="21"/>
              </w:rPr>
              <w:t xml:space="preserve">Rekening </w:t>
            </w:r>
            <w:bookmarkEnd w:id="136"/>
            <w:r>
              <w:rPr>
                <w:rFonts w:ascii="Arial" w:hAnsi="Arial" w:cs="Arial"/>
                <w:sz w:val="21"/>
                <w:szCs w:val="21"/>
              </w:rPr>
              <w:t>Kompensasi dan Hasil-hasil Klaim Asuransi:</w:t>
            </w:r>
            <w:bookmarkEnd w:id="137"/>
            <w:bookmarkEnd w:id="138"/>
          </w:p>
        </w:tc>
        <w:tc>
          <w:tcPr>
            <w:tcW w:w="2950" w:type="pct"/>
          </w:tcPr>
          <w:p>
            <w:pPr>
              <w:spacing w:after="120"/>
              <w:rPr>
                <w:rFonts w:ascii="Arial" w:hAnsi="Arial" w:eastAsia="Times New Roman" w:cs="Arial"/>
                <w:sz w:val="21"/>
                <w:szCs w:val="21"/>
              </w:rPr>
            </w:pPr>
            <w:r>
              <w:rPr>
                <w:rFonts w:ascii="Arial" w:hAnsi="Arial" w:eastAsia="Times New Roman" w:cs="Arial"/>
                <w:b/>
                <w:i/>
                <w:sz w:val="21"/>
                <w:szCs w:val="21"/>
              </w:rPr>
              <w:t>Kredit-kredit</w:t>
            </w:r>
            <w:r>
              <w:rPr>
                <w:rFonts w:ascii="Arial" w:hAnsi="Arial" w:eastAsia="Times New Roman" w:cs="Arial"/>
                <w:sz w:val="21"/>
                <w:szCs w:val="21"/>
              </w:rPr>
              <w:t>: Hasil-hasil klaim asuransi (selain dari kehilangan pendapatan atau asuransi pihak ketiga)</w:t>
            </w:r>
            <w:r>
              <w:rPr>
                <w:rStyle w:val="25"/>
                <w:rFonts w:ascii="Arial" w:hAnsi="Arial" w:eastAsia="Times New Roman" w:cs="Arial"/>
                <w:sz w:val="21"/>
                <w:szCs w:val="21"/>
              </w:rPr>
              <w:footnoteReference w:id="100"/>
            </w:r>
            <w:r>
              <w:rPr>
                <w:rFonts w:ascii="Arial" w:hAnsi="Arial" w:eastAsia="Times New Roman" w:cs="Arial"/>
                <w:sz w:val="21"/>
                <w:szCs w:val="21"/>
              </w:rPr>
              <w:t xml:space="preserve"> atau kompensasi (termasuk ganti rugi yang ditetapkan nilainya atas kegagalan kinerja, ganti rugi atas nasionalisasi/pengambilalihan dan ganti rugi atas pengakhiran namun tidak termasuk ganti rugi yang ditetapkan nilainya atas keterlambatan pelaksanaan).</w:t>
            </w:r>
          </w:p>
        </w:tc>
      </w:tr>
      <w:tr>
        <w:tblPrEx>
          <w:tblCellMar>
            <w:top w:w="0" w:type="dxa"/>
            <w:left w:w="108" w:type="dxa"/>
            <w:bottom w:w="0" w:type="dxa"/>
            <w:right w:w="108" w:type="dxa"/>
          </w:tblCellMar>
        </w:tblPrEx>
        <w:tc>
          <w:tcPr>
            <w:tcW w:w="2050" w:type="pct"/>
          </w:tcPr>
          <w:p>
            <w:pPr>
              <w:pStyle w:val="105"/>
              <w:keepNext w:val="0"/>
              <w:numPr>
                <w:ilvl w:val="0"/>
                <w:numId w:val="0"/>
              </w:numPr>
              <w:spacing w:after="120"/>
              <w:ind w:left="720" w:hanging="720"/>
              <w:rPr>
                <w:rFonts w:ascii="Arial" w:hAnsi="Arial" w:cs="Arial"/>
                <w:b w:val="0"/>
                <w:bCs/>
                <w:sz w:val="21"/>
                <w:szCs w:val="21"/>
              </w:rPr>
            </w:pPr>
          </w:p>
        </w:tc>
        <w:tc>
          <w:tcPr>
            <w:tcW w:w="2950" w:type="pct"/>
          </w:tcPr>
          <w:p>
            <w:pPr>
              <w:spacing w:after="120"/>
              <w:rPr>
                <w:rFonts w:ascii="Arial" w:hAnsi="Arial" w:eastAsia="Times New Roman" w:cs="Arial"/>
                <w:bCs/>
                <w:i/>
                <w:sz w:val="21"/>
                <w:szCs w:val="21"/>
              </w:rPr>
            </w:pPr>
            <w:r>
              <w:rPr>
                <w:rFonts w:ascii="Arial" w:hAnsi="Arial" w:eastAsia="Times New Roman" w:cs="Arial"/>
                <w:b/>
                <w:i/>
                <w:sz w:val="21"/>
                <w:szCs w:val="21"/>
              </w:rPr>
              <w:t>Penarikan-penarikan</w:t>
            </w:r>
            <w:r>
              <w:rPr>
                <w:rFonts w:ascii="Arial" w:hAnsi="Arial" w:eastAsia="Times New Roman" w:cs="Arial"/>
                <w:sz w:val="21"/>
                <w:szCs w:val="21"/>
              </w:rPr>
              <w:t>: Untuk memperbaiki/memulihkan/mengganti aset-aset (sesuai ambang batas yang disepakati) dan selanjutnya, untuk percepatan pelunasan wajib.</w:t>
            </w:r>
          </w:p>
        </w:tc>
      </w:tr>
      <w:tr>
        <w:tblPrEx>
          <w:tblCellMar>
            <w:top w:w="0" w:type="dxa"/>
            <w:left w:w="108" w:type="dxa"/>
            <w:bottom w:w="0" w:type="dxa"/>
            <w:right w:w="108" w:type="dxa"/>
          </w:tblCellMar>
        </w:tblPrEx>
        <w:tc>
          <w:tcPr>
            <w:tcW w:w="2050" w:type="pct"/>
          </w:tcPr>
          <w:p>
            <w:pPr>
              <w:pStyle w:val="105"/>
              <w:keepNext w:val="0"/>
              <w:tabs>
                <w:tab w:val="clear" w:pos="720"/>
              </w:tabs>
              <w:spacing w:after="120"/>
              <w:rPr>
                <w:rFonts w:ascii="Arial" w:hAnsi="Arial" w:cs="Arial"/>
                <w:b w:val="0"/>
                <w:sz w:val="21"/>
                <w:szCs w:val="21"/>
              </w:rPr>
            </w:pPr>
            <w:bookmarkStart w:id="139" w:name="_Toc74860693"/>
            <w:bookmarkStart w:id="140" w:name="_Toc74557547"/>
            <w:r>
              <w:rPr>
                <w:rFonts w:ascii="Arial" w:hAnsi="Arial" w:cs="Arial"/>
                <w:i/>
                <w:sz w:val="21"/>
                <w:szCs w:val="21"/>
              </w:rPr>
              <w:t>Debt Service Reserve Account</w:t>
            </w:r>
            <w:r>
              <w:rPr>
                <w:rFonts w:ascii="Arial" w:hAnsi="Arial" w:cs="Arial"/>
                <w:sz w:val="21"/>
                <w:szCs w:val="21"/>
              </w:rPr>
              <w:t>:</w:t>
            </w:r>
            <w:bookmarkEnd w:id="139"/>
            <w:bookmarkEnd w:id="140"/>
          </w:p>
        </w:tc>
        <w:tc>
          <w:tcPr>
            <w:tcW w:w="2950" w:type="pct"/>
          </w:tcPr>
          <w:p>
            <w:pPr>
              <w:spacing w:after="120"/>
              <w:rPr>
                <w:rFonts w:ascii="Arial" w:hAnsi="Arial" w:eastAsia="Times New Roman" w:cs="Arial"/>
                <w:sz w:val="21"/>
                <w:szCs w:val="21"/>
              </w:rPr>
            </w:pPr>
            <w:r>
              <w:rPr>
                <w:rFonts w:ascii="Arial" w:hAnsi="Arial" w:eastAsia="Times New Roman" w:cs="Arial"/>
                <w:b/>
                <w:i/>
                <w:sz w:val="21"/>
                <w:szCs w:val="21"/>
              </w:rPr>
              <w:t>Kredit-kredit</w:t>
            </w:r>
            <w:r>
              <w:rPr>
                <w:rFonts w:ascii="Arial" w:hAnsi="Arial" w:eastAsia="Times New Roman" w:cs="Arial"/>
                <w:sz w:val="21"/>
                <w:szCs w:val="21"/>
              </w:rPr>
              <w:t xml:space="preserve">: Sejak [Tanggal Penyelesaian Finansial]/[Tanggal Penyelesaian Proyek] sampai dengan tanggal dimana Fasilitas[-fasilitas] dibayar kembali secara penuh, Perusahaan Proyek harus memastikan bahwa </w:t>
            </w:r>
            <w:r>
              <w:rPr>
                <w:rFonts w:ascii="Arial" w:hAnsi="Arial" w:eastAsia="Times New Roman" w:cs="Arial"/>
                <w:i/>
                <w:sz w:val="21"/>
                <w:szCs w:val="21"/>
              </w:rPr>
              <w:t>Debt Service Reserve Account</w:t>
            </w:r>
            <w:r>
              <w:rPr>
                <w:rFonts w:ascii="Arial" w:hAnsi="Arial" w:eastAsia="Times New Roman" w:cs="Arial"/>
                <w:sz w:val="21"/>
                <w:szCs w:val="21"/>
              </w:rPr>
              <w:t xml:space="preserve"> didanai [baik dengan menyimpan dana-dana dari </w:t>
            </w:r>
            <w:r>
              <w:rPr>
                <w:rFonts w:ascii="Arial" w:hAnsi="Arial" w:eastAsia="Times New Roman" w:cs="Arial"/>
                <w:i/>
                <w:sz w:val="21"/>
                <w:szCs w:val="21"/>
              </w:rPr>
              <w:t>Cash Flow Waterfall</w:t>
            </w:r>
            <w:r>
              <w:rPr>
                <w:rFonts w:ascii="Arial" w:hAnsi="Arial" w:eastAsia="Times New Roman" w:cs="Arial"/>
                <w:sz w:val="21"/>
                <w:szCs w:val="21"/>
              </w:rPr>
              <w:t xml:space="preserve">, dengan menyetorkan uang tunai atau dengan memberikan Dukungan Kredit Yang Dapat Diterima] dalam jumlah tidak kurang dari jumlah </w:t>
            </w:r>
            <w:r>
              <w:rPr>
                <w:rFonts w:ascii="Arial" w:hAnsi="Arial" w:eastAsia="Times New Roman" w:cs="Arial"/>
                <w:sz w:val="21"/>
                <w:szCs w:val="21"/>
                <w:lang w:val="en-US"/>
              </w:rPr>
              <w:t>debt service</w:t>
            </w:r>
            <w:r>
              <w:rPr>
                <w:rFonts w:ascii="Arial" w:hAnsi="Arial" w:eastAsia="Times New Roman" w:cs="Arial"/>
                <w:sz w:val="21"/>
                <w:szCs w:val="21"/>
              </w:rPr>
              <w:t xml:space="preserve"> terjadwal setiap [[ ]-bulan] yang jatuh tempo dan harus dibayar pada tanggal pembayaran kembali berikutnya.</w:t>
            </w:r>
          </w:p>
        </w:tc>
      </w:tr>
      <w:tr>
        <w:tblPrEx>
          <w:tblCellMar>
            <w:top w:w="0" w:type="dxa"/>
            <w:left w:w="108" w:type="dxa"/>
            <w:bottom w:w="0" w:type="dxa"/>
            <w:right w:w="108" w:type="dxa"/>
          </w:tblCellMar>
        </w:tblPrEx>
        <w:tc>
          <w:tcPr>
            <w:tcW w:w="2050" w:type="pct"/>
          </w:tcPr>
          <w:p>
            <w:pPr>
              <w:pStyle w:val="105"/>
              <w:keepNext w:val="0"/>
              <w:numPr>
                <w:ilvl w:val="0"/>
                <w:numId w:val="0"/>
              </w:numPr>
              <w:spacing w:after="120"/>
              <w:ind w:left="720" w:hanging="720"/>
              <w:rPr>
                <w:rFonts w:ascii="Arial" w:hAnsi="Arial" w:cs="Arial"/>
                <w:b w:val="0"/>
                <w:bCs/>
                <w:i/>
                <w:sz w:val="21"/>
                <w:szCs w:val="21"/>
              </w:rPr>
            </w:pPr>
          </w:p>
        </w:tc>
        <w:tc>
          <w:tcPr>
            <w:tcW w:w="2950" w:type="pct"/>
          </w:tcPr>
          <w:p>
            <w:pPr>
              <w:spacing w:after="120"/>
              <w:rPr>
                <w:rFonts w:ascii="Arial" w:hAnsi="Arial" w:eastAsia="Times New Roman" w:cs="Arial"/>
                <w:sz w:val="21"/>
                <w:szCs w:val="21"/>
              </w:rPr>
            </w:pPr>
            <w:r>
              <w:rPr>
                <w:rFonts w:ascii="Arial" w:hAnsi="Arial" w:eastAsia="Times New Roman" w:cs="Arial"/>
                <w:b/>
                <w:i/>
                <w:sz w:val="21"/>
                <w:szCs w:val="21"/>
              </w:rPr>
              <w:t>Penarikan-penarikan</w:t>
            </w:r>
            <w:r>
              <w:rPr>
                <w:rFonts w:ascii="Arial" w:hAnsi="Arial" w:eastAsia="Times New Roman" w:cs="Arial"/>
                <w:sz w:val="21"/>
                <w:szCs w:val="21"/>
              </w:rPr>
              <w:t xml:space="preserve">:  Untuk memenuhi pembayaran-pembayaran </w:t>
            </w:r>
            <w:r>
              <w:rPr>
                <w:rFonts w:ascii="Arial" w:hAnsi="Arial" w:eastAsia="Times New Roman" w:cs="Arial"/>
                <w:sz w:val="21"/>
                <w:szCs w:val="21"/>
                <w:lang w:val="en-US"/>
              </w:rPr>
              <w:t>debt service</w:t>
            </w:r>
            <w:r>
              <w:rPr>
                <w:rFonts w:ascii="Arial" w:hAnsi="Arial" w:eastAsia="Times New Roman" w:cs="Arial"/>
                <w:sz w:val="21"/>
                <w:szCs w:val="21"/>
              </w:rPr>
              <w:t xml:space="preserve"> terjadwal (apabila dana yang tersedia tidak mencukupi berdasarkan </w:t>
            </w:r>
            <w:r>
              <w:rPr>
                <w:rFonts w:ascii="Arial" w:hAnsi="Arial" w:eastAsia="Times New Roman" w:cs="Arial"/>
                <w:i/>
                <w:sz w:val="21"/>
                <w:szCs w:val="21"/>
              </w:rPr>
              <w:t>Cash Flow Waterfall</w:t>
            </w:r>
            <w:r>
              <w:rPr>
                <w:rFonts w:ascii="Arial" w:hAnsi="Arial" w:eastAsia="Times New Roman" w:cs="Arial"/>
                <w:sz w:val="21"/>
                <w:szCs w:val="21"/>
              </w:rPr>
              <w:t>).</w:t>
            </w:r>
          </w:p>
        </w:tc>
      </w:tr>
      <w:tr>
        <w:tblPrEx>
          <w:tblCellMar>
            <w:top w:w="0" w:type="dxa"/>
            <w:left w:w="108" w:type="dxa"/>
            <w:bottom w:w="0" w:type="dxa"/>
            <w:right w:w="108" w:type="dxa"/>
          </w:tblCellMar>
        </w:tblPrEx>
        <w:tc>
          <w:tcPr>
            <w:tcW w:w="2050" w:type="pct"/>
          </w:tcPr>
          <w:p>
            <w:pPr>
              <w:pStyle w:val="105"/>
              <w:keepNext w:val="0"/>
              <w:numPr>
                <w:ilvl w:val="0"/>
                <w:numId w:val="0"/>
              </w:numPr>
              <w:spacing w:after="120"/>
              <w:ind w:left="720" w:hanging="720"/>
              <w:rPr>
                <w:rFonts w:ascii="Arial" w:hAnsi="Arial" w:cs="Arial"/>
                <w:b w:val="0"/>
                <w:bCs/>
                <w:i/>
                <w:sz w:val="21"/>
                <w:szCs w:val="21"/>
              </w:rPr>
            </w:pPr>
          </w:p>
        </w:tc>
        <w:tc>
          <w:tcPr>
            <w:tcW w:w="2950" w:type="pct"/>
          </w:tcPr>
          <w:p>
            <w:pPr>
              <w:spacing w:after="120"/>
              <w:rPr>
                <w:rFonts w:ascii="Arial" w:hAnsi="Arial" w:eastAsia="Times New Roman" w:cs="Arial"/>
                <w:b/>
                <w:i/>
                <w:sz w:val="21"/>
                <w:szCs w:val="21"/>
              </w:rPr>
            </w:pPr>
            <w:r>
              <w:rPr>
                <w:rFonts w:ascii="Arial" w:hAnsi="Arial" w:eastAsia="Times New Roman" w:cs="Arial"/>
                <w:sz w:val="21"/>
                <w:szCs w:val="21"/>
              </w:rPr>
              <w:t xml:space="preserve">Pada setiap tanggal pembayaran kembali, setiap kelebihan jumlah di atas nilai </w:t>
            </w:r>
            <w:r>
              <w:rPr>
                <w:rFonts w:ascii="Arial" w:hAnsi="Arial" w:eastAsia="Times New Roman" w:cs="Arial"/>
                <w:i/>
                <w:sz w:val="21"/>
                <w:szCs w:val="21"/>
              </w:rPr>
              <w:t>debt service reserve balance</w:t>
            </w:r>
            <w:r>
              <w:rPr>
                <w:rFonts w:ascii="Arial" w:hAnsi="Arial" w:eastAsia="Times New Roman" w:cs="Arial"/>
                <w:sz w:val="21"/>
                <w:szCs w:val="21"/>
              </w:rPr>
              <w:t xml:space="preserve"> yang disyaratkan dapat dialihkan ke Rekening Operasional.</w:t>
            </w:r>
          </w:p>
        </w:tc>
      </w:tr>
      <w:tr>
        <w:tblPrEx>
          <w:tblCellMar>
            <w:top w:w="0" w:type="dxa"/>
            <w:left w:w="108" w:type="dxa"/>
            <w:bottom w:w="0" w:type="dxa"/>
            <w:right w:w="108" w:type="dxa"/>
          </w:tblCellMar>
        </w:tblPrEx>
        <w:tc>
          <w:tcPr>
            <w:tcW w:w="2050" w:type="pct"/>
          </w:tcPr>
          <w:p>
            <w:pPr>
              <w:pStyle w:val="105"/>
              <w:keepNext w:val="0"/>
              <w:tabs>
                <w:tab w:val="clear" w:pos="720"/>
              </w:tabs>
              <w:spacing w:after="120"/>
              <w:rPr>
                <w:rFonts w:ascii="Arial" w:hAnsi="Arial" w:cs="Arial"/>
                <w:b w:val="0"/>
                <w:sz w:val="21"/>
                <w:szCs w:val="21"/>
              </w:rPr>
            </w:pPr>
            <w:bookmarkStart w:id="141" w:name="_Toc74860694"/>
            <w:bookmarkStart w:id="142" w:name="_Toc74557548"/>
            <w:r>
              <w:rPr>
                <w:rFonts w:ascii="Arial" w:hAnsi="Arial" w:cs="Arial"/>
                <w:sz w:val="21"/>
                <w:szCs w:val="21"/>
              </w:rPr>
              <w:t>[</w:t>
            </w:r>
            <w:r>
              <w:rPr>
                <w:rFonts w:ascii="Arial" w:hAnsi="Arial" w:cs="Arial"/>
                <w:i/>
                <w:sz w:val="21"/>
                <w:szCs w:val="21"/>
              </w:rPr>
              <w:t>Maintenance Reserve Account</w:t>
            </w:r>
            <w:r>
              <w:rPr>
                <w:rStyle w:val="25"/>
                <w:rFonts w:ascii="Arial" w:hAnsi="Arial" w:cs="Arial"/>
                <w:b w:val="0"/>
                <w:sz w:val="21"/>
                <w:szCs w:val="21"/>
              </w:rPr>
              <w:footnoteReference w:id="101"/>
            </w:r>
            <w:r>
              <w:rPr>
                <w:rFonts w:ascii="Arial" w:hAnsi="Arial" w:cs="Arial"/>
                <w:sz w:val="21"/>
                <w:szCs w:val="21"/>
              </w:rPr>
              <w:t>:</w:t>
            </w:r>
            <w:bookmarkEnd w:id="141"/>
            <w:bookmarkEnd w:id="142"/>
          </w:p>
        </w:tc>
        <w:tc>
          <w:tcPr>
            <w:tcW w:w="2950" w:type="pct"/>
          </w:tcPr>
          <w:p>
            <w:pPr>
              <w:spacing w:after="120"/>
              <w:rPr>
                <w:rFonts w:ascii="Arial" w:hAnsi="Arial" w:eastAsia="Times New Roman" w:cs="Arial"/>
                <w:sz w:val="21"/>
                <w:szCs w:val="21"/>
              </w:rPr>
            </w:pPr>
            <w:r>
              <w:rPr>
                <w:rFonts w:ascii="Arial" w:hAnsi="Arial" w:eastAsia="Times New Roman" w:cs="Arial"/>
                <w:b/>
                <w:i/>
                <w:sz w:val="21"/>
                <w:szCs w:val="21"/>
              </w:rPr>
              <w:t>Kredit-kredit</w:t>
            </w:r>
            <w:r>
              <w:rPr>
                <w:rFonts w:ascii="Arial" w:hAnsi="Arial" w:eastAsia="Times New Roman" w:cs="Arial"/>
                <w:sz w:val="21"/>
                <w:szCs w:val="21"/>
              </w:rPr>
              <w:t xml:space="preserve">:  Perusahaan Proyek harus memastikan bahwa </w:t>
            </w:r>
            <w:r>
              <w:rPr>
                <w:rFonts w:ascii="Arial" w:hAnsi="Arial" w:eastAsia="Times New Roman" w:cs="Arial"/>
                <w:i/>
                <w:sz w:val="21"/>
                <w:szCs w:val="21"/>
              </w:rPr>
              <w:t>Maintenance Reserve Account</w:t>
            </w:r>
            <w:r>
              <w:rPr>
                <w:rFonts w:ascii="Arial" w:hAnsi="Arial" w:eastAsia="Times New Roman" w:cs="Arial"/>
                <w:sz w:val="21"/>
                <w:szCs w:val="21"/>
              </w:rPr>
              <w:t xml:space="preserve"> diberi pendanaan pada waktu yang ditentukan [baik dengan menyimpan dana dari </w:t>
            </w:r>
            <w:r>
              <w:rPr>
                <w:rFonts w:ascii="Arial" w:hAnsi="Arial" w:eastAsia="Times New Roman" w:cs="Arial"/>
                <w:i/>
                <w:sz w:val="21"/>
                <w:szCs w:val="21"/>
              </w:rPr>
              <w:t>Cash Flow Waterfall</w:t>
            </w:r>
            <w:r>
              <w:rPr>
                <w:rFonts w:ascii="Arial" w:hAnsi="Arial" w:eastAsia="Times New Roman" w:cs="Arial"/>
                <w:sz w:val="21"/>
                <w:szCs w:val="21"/>
              </w:rPr>
              <w:t>, dengan menyetorkan uang tunai atau dengan menyediakan Dukungan Kredit Yang Dapat Diterima] dalam suatu jumlah [</w:t>
            </w:r>
            <w:r>
              <w:rPr>
                <w:rFonts w:ascii="Arial" w:hAnsi="Arial" w:eastAsia="Times New Roman" w:cs="Arial"/>
                <w:i/>
                <w:sz w:val="21"/>
                <w:szCs w:val="21"/>
              </w:rPr>
              <w:t>metode penghitungan jumlah yang diperlukan akan dijelaskan</w:t>
            </w:r>
            <w:r>
              <w:rPr>
                <w:rFonts w:ascii="Arial" w:hAnsi="Arial" w:eastAsia="Times New Roman" w:cs="Arial"/>
                <w:sz w:val="21"/>
                <w:szCs w:val="21"/>
              </w:rPr>
              <w:t>]</w:t>
            </w:r>
            <w:r>
              <w:rPr>
                <w:rStyle w:val="25"/>
                <w:rFonts w:ascii="Arial" w:hAnsi="Arial" w:eastAsia="Times New Roman" w:cs="Arial"/>
                <w:sz w:val="21"/>
                <w:szCs w:val="21"/>
              </w:rPr>
              <w:footnoteReference w:id="102"/>
            </w:r>
            <w:r>
              <w:rPr>
                <w:rFonts w:ascii="Arial" w:hAnsi="Arial" w:eastAsia="Times New Roman" w:cs="Arial"/>
                <w:sz w:val="21"/>
                <w:szCs w:val="21"/>
              </w:rPr>
              <w:t>.</w:t>
            </w:r>
          </w:p>
        </w:tc>
      </w:tr>
      <w:tr>
        <w:tblPrEx>
          <w:tblCellMar>
            <w:top w:w="0" w:type="dxa"/>
            <w:left w:w="108" w:type="dxa"/>
            <w:bottom w:w="0" w:type="dxa"/>
            <w:right w:w="108" w:type="dxa"/>
          </w:tblCellMar>
        </w:tblPrEx>
        <w:tc>
          <w:tcPr>
            <w:tcW w:w="2050" w:type="pct"/>
          </w:tcPr>
          <w:p>
            <w:pPr>
              <w:spacing w:after="120"/>
              <w:rPr>
                <w:rFonts w:ascii="Arial" w:hAnsi="Arial" w:eastAsia="Times New Roman" w:cs="Arial"/>
                <w:sz w:val="21"/>
                <w:szCs w:val="21"/>
              </w:rPr>
            </w:pPr>
          </w:p>
        </w:tc>
        <w:tc>
          <w:tcPr>
            <w:tcW w:w="2950" w:type="pct"/>
          </w:tcPr>
          <w:p>
            <w:pPr>
              <w:spacing w:after="120"/>
              <w:rPr>
                <w:rFonts w:ascii="Arial" w:hAnsi="Arial" w:eastAsia="Times New Roman" w:cs="Arial"/>
                <w:sz w:val="21"/>
                <w:szCs w:val="21"/>
              </w:rPr>
            </w:pPr>
            <w:r>
              <w:rPr>
                <w:rFonts w:ascii="Arial" w:hAnsi="Arial" w:eastAsia="Times New Roman" w:cs="Arial"/>
                <w:b/>
                <w:i/>
                <w:sz w:val="21"/>
                <w:szCs w:val="21"/>
              </w:rPr>
              <w:t>Penarikan-penarikan</w:t>
            </w:r>
            <w:r>
              <w:rPr>
                <w:rFonts w:ascii="Arial" w:hAnsi="Arial" w:eastAsia="Times New Roman" w:cs="Arial"/>
                <w:sz w:val="21"/>
                <w:szCs w:val="21"/>
              </w:rPr>
              <w:t>:  untuk membayar biaya-biaya perawatan utama.</w:t>
            </w:r>
          </w:p>
        </w:tc>
      </w:tr>
      <w:tr>
        <w:tblPrEx>
          <w:tblCellMar>
            <w:top w:w="0" w:type="dxa"/>
            <w:left w:w="108" w:type="dxa"/>
            <w:bottom w:w="0" w:type="dxa"/>
            <w:right w:w="108" w:type="dxa"/>
          </w:tblCellMar>
        </w:tblPrEx>
        <w:tc>
          <w:tcPr>
            <w:tcW w:w="2050" w:type="pct"/>
          </w:tcPr>
          <w:p>
            <w:pPr>
              <w:spacing w:after="120"/>
              <w:rPr>
                <w:rFonts w:ascii="Arial" w:hAnsi="Arial" w:eastAsia="Times New Roman" w:cs="Arial"/>
                <w:sz w:val="21"/>
                <w:szCs w:val="21"/>
              </w:rPr>
            </w:pPr>
          </w:p>
        </w:tc>
        <w:tc>
          <w:tcPr>
            <w:tcW w:w="2950" w:type="pct"/>
          </w:tcPr>
          <w:p>
            <w:pPr>
              <w:spacing w:after="120"/>
              <w:rPr>
                <w:rFonts w:ascii="Arial" w:hAnsi="Arial" w:eastAsia="Times New Roman" w:cs="Arial"/>
                <w:b/>
                <w:i/>
                <w:sz w:val="21"/>
                <w:szCs w:val="21"/>
              </w:rPr>
            </w:pPr>
            <w:r>
              <w:rPr>
                <w:rFonts w:ascii="Arial" w:hAnsi="Arial" w:eastAsia="Times New Roman" w:cs="Arial"/>
                <w:sz w:val="21"/>
                <w:szCs w:val="21"/>
              </w:rPr>
              <w:t xml:space="preserve">Pada waktu yang disepakati, kelebihan jumlah di atas nilai </w:t>
            </w:r>
            <w:r>
              <w:rPr>
                <w:rFonts w:ascii="Arial" w:hAnsi="Arial" w:eastAsia="Times New Roman" w:cs="Arial"/>
                <w:i/>
                <w:sz w:val="21"/>
                <w:szCs w:val="21"/>
              </w:rPr>
              <w:t>maintenance reserve balance</w:t>
            </w:r>
            <w:r>
              <w:rPr>
                <w:rFonts w:ascii="Arial" w:hAnsi="Arial" w:eastAsia="Times New Roman" w:cs="Arial"/>
                <w:sz w:val="21"/>
                <w:szCs w:val="21"/>
              </w:rPr>
              <w:t xml:space="preserve"> yang diperlukan dapat dialihkan ke Rekening Operasional]</w:t>
            </w:r>
          </w:p>
        </w:tc>
      </w:tr>
      <w:tr>
        <w:tblPrEx>
          <w:tblCellMar>
            <w:top w:w="0" w:type="dxa"/>
            <w:left w:w="108" w:type="dxa"/>
            <w:bottom w:w="0" w:type="dxa"/>
            <w:right w:w="108" w:type="dxa"/>
          </w:tblCellMar>
        </w:tblPrEx>
        <w:tc>
          <w:tcPr>
            <w:tcW w:w="2050" w:type="pct"/>
          </w:tcPr>
          <w:p>
            <w:pPr>
              <w:pStyle w:val="105"/>
              <w:keepNext w:val="0"/>
              <w:tabs>
                <w:tab w:val="clear" w:pos="720"/>
              </w:tabs>
              <w:spacing w:after="120"/>
              <w:rPr>
                <w:rFonts w:ascii="Arial" w:hAnsi="Arial" w:cs="Arial"/>
                <w:b w:val="0"/>
                <w:sz w:val="21"/>
                <w:szCs w:val="21"/>
              </w:rPr>
            </w:pPr>
            <w:bookmarkStart w:id="143" w:name="_Toc74557549"/>
            <w:bookmarkStart w:id="144" w:name="_Toc74860695"/>
            <w:r>
              <w:rPr>
                <w:rFonts w:ascii="Arial" w:hAnsi="Arial" w:cs="Arial"/>
                <w:sz w:val="21"/>
                <w:szCs w:val="21"/>
              </w:rPr>
              <w:t>Rekening Distribusi</w:t>
            </w:r>
            <w:r>
              <w:rPr>
                <w:rStyle w:val="25"/>
                <w:rFonts w:ascii="Arial" w:hAnsi="Arial" w:cs="Arial"/>
                <w:b w:val="0"/>
                <w:sz w:val="21"/>
                <w:szCs w:val="21"/>
              </w:rPr>
              <w:footnoteReference w:id="103"/>
            </w:r>
            <w:r>
              <w:rPr>
                <w:rFonts w:ascii="Arial" w:hAnsi="Arial" w:cs="Arial"/>
                <w:sz w:val="21"/>
                <w:szCs w:val="21"/>
              </w:rPr>
              <w:t>:</w:t>
            </w:r>
            <w:bookmarkEnd w:id="143"/>
            <w:bookmarkEnd w:id="144"/>
          </w:p>
        </w:tc>
        <w:tc>
          <w:tcPr>
            <w:tcW w:w="2950" w:type="pct"/>
          </w:tcPr>
          <w:p>
            <w:pPr>
              <w:pStyle w:val="59"/>
              <w:spacing w:after="120"/>
              <w:rPr>
                <w:rFonts w:ascii="Arial" w:hAnsi="Arial" w:cs="Arial"/>
                <w:sz w:val="21"/>
                <w:szCs w:val="21"/>
              </w:rPr>
            </w:pPr>
            <w:r>
              <w:rPr>
                <w:rFonts w:ascii="Arial" w:hAnsi="Arial" w:cs="Arial"/>
                <w:b/>
                <w:bCs/>
                <w:i/>
                <w:iCs/>
                <w:sz w:val="21"/>
                <w:szCs w:val="21"/>
              </w:rPr>
              <w:t>Kredit-kredit</w:t>
            </w:r>
            <w:r>
              <w:rPr>
                <w:rFonts w:ascii="Arial" w:hAnsi="Arial" w:cs="Arial"/>
                <w:sz w:val="21"/>
                <w:szCs w:val="21"/>
              </w:rPr>
              <w:t xml:space="preserve">:  Dari Rekening Operasional sesuai dengan </w:t>
            </w:r>
            <w:r>
              <w:rPr>
                <w:rFonts w:ascii="Arial" w:hAnsi="Arial" w:cs="Arial"/>
                <w:i/>
                <w:sz w:val="21"/>
                <w:szCs w:val="21"/>
              </w:rPr>
              <w:t>Cash Flow Waterfall</w:t>
            </w:r>
            <w:r>
              <w:rPr>
                <w:rFonts w:ascii="Arial" w:hAnsi="Arial" w:cs="Arial"/>
                <w:sz w:val="21"/>
                <w:szCs w:val="21"/>
              </w:rPr>
              <w:t>.</w:t>
            </w:r>
          </w:p>
        </w:tc>
      </w:tr>
      <w:tr>
        <w:tblPrEx>
          <w:tblCellMar>
            <w:top w:w="0" w:type="dxa"/>
            <w:left w:w="108" w:type="dxa"/>
            <w:bottom w:w="0" w:type="dxa"/>
            <w:right w:w="108" w:type="dxa"/>
          </w:tblCellMar>
        </w:tblPrEx>
        <w:tc>
          <w:tcPr>
            <w:tcW w:w="2050" w:type="pct"/>
          </w:tcPr>
          <w:p>
            <w:pPr>
              <w:pStyle w:val="105"/>
              <w:keepNext w:val="0"/>
              <w:numPr>
                <w:ilvl w:val="0"/>
                <w:numId w:val="0"/>
              </w:numPr>
              <w:spacing w:after="120"/>
              <w:ind w:left="720" w:hanging="720"/>
              <w:rPr>
                <w:rFonts w:ascii="Arial" w:hAnsi="Arial" w:cs="Arial"/>
                <w:sz w:val="21"/>
                <w:szCs w:val="21"/>
              </w:rPr>
            </w:pPr>
          </w:p>
        </w:tc>
        <w:tc>
          <w:tcPr>
            <w:tcW w:w="2950" w:type="pct"/>
          </w:tcPr>
          <w:p>
            <w:pPr>
              <w:pStyle w:val="59"/>
              <w:spacing w:after="120"/>
              <w:rPr>
                <w:rFonts w:ascii="Arial" w:hAnsi="Arial" w:cs="Arial"/>
                <w:b/>
                <w:bCs/>
                <w:i/>
                <w:iCs/>
                <w:sz w:val="21"/>
                <w:szCs w:val="21"/>
              </w:rPr>
            </w:pPr>
            <w:r>
              <w:rPr>
                <w:rFonts w:ascii="Arial" w:hAnsi="Arial" w:eastAsia="Times New Roman" w:cs="Arial"/>
                <w:b/>
                <w:i/>
                <w:sz w:val="21"/>
                <w:szCs w:val="21"/>
              </w:rPr>
              <w:t>Penarikan-penarikan</w:t>
            </w:r>
            <w:r>
              <w:rPr>
                <w:rFonts w:ascii="Arial" w:hAnsi="Arial" w:eastAsia="Times New Roman" w:cs="Arial"/>
                <w:sz w:val="21"/>
                <w:szCs w:val="21"/>
              </w:rPr>
              <w:t>: Penarikan-penarikan dapat dilakukan setiap saat secara bebas [dan Rekening Distribusi tidak akan dikenakan hak tanggungan apapun untuk kepentingan Para Pihak Pembiayaan].</w:t>
            </w:r>
          </w:p>
        </w:tc>
      </w:tr>
      <w:tr>
        <w:tblPrEx>
          <w:tblCellMar>
            <w:top w:w="0" w:type="dxa"/>
            <w:left w:w="108" w:type="dxa"/>
            <w:bottom w:w="0" w:type="dxa"/>
            <w:right w:w="108" w:type="dxa"/>
          </w:tblCellMar>
        </w:tblPrEx>
        <w:tc>
          <w:tcPr>
            <w:tcW w:w="2050" w:type="pct"/>
          </w:tcPr>
          <w:p>
            <w:pPr>
              <w:pStyle w:val="105"/>
              <w:keepNext w:val="0"/>
              <w:tabs>
                <w:tab w:val="clear" w:pos="720"/>
              </w:tabs>
              <w:spacing w:after="120"/>
              <w:rPr>
                <w:rFonts w:ascii="Arial" w:hAnsi="Arial" w:cs="Arial"/>
                <w:b w:val="0"/>
                <w:sz w:val="21"/>
                <w:szCs w:val="21"/>
              </w:rPr>
            </w:pPr>
            <w:bookmarkStart w:id="145" w:name="_Toc74860696"/>
            <w:bookmarkStart w:id="146" w:name="_Toc74557550"/>
            <w:r>
              <w:rPr>
                <w:rFonts w:ascii="Arial" w:hAnsi="Arial" w:cs="Arial"/>
                <w:i/>
                <w:iCs/>
                <w:sz w:val="21"/>
                <w:szCs w:val="21"/>
              </w:rPr>
              <w:t>Cash Flow Waterfall</w:t>
            </w:r>
            <w:r>
              <w:rPr>
                <w:rStyle w:val="25"/>
                <w:rFonts w:ascii="Arial" w:hAnsi="Arial" w:cs="Arial"/>
                <w:b w:val="0"/>
                <w:sz w:val="21"/>
                <w:szCs w:val="21"/>
              </w:rPr>
              <w:footnoteReference w:id="104"/>
            </w:r>
            <w:r>
              <w:rPr>
                <w:rFonts w:ascii="Arial" w:hAnsi="Arial" w:cs="Arial"/>
                <w:sz w:val="21"/>
                <w:szCs w:val="21"/>
              </w:rPr>
              <w:t>:</w:t>
            </w:r>
            <w:bookmarkEnd w:id="145"/>
            <w:bookmarkEnd w:id="146"/>
          </w:p>
        </w:tc>
        <w:tc>
          <w:tcPr>
            <w:tcW w:w="2950" w:type="pct"/>
          </w:tcPr>
          <w:p>
            <w:pPr>
              <w:pStyle w:val="59"/>
              <w:spacing w:after="120"/>
              <w:rPr>
                <w:rFonts w:ascii="Arial" w:hAnsi="Arial" w:cs="Arial"/>
                <w:sz w:val="21"/>
                <w:szCs w:val="21"/>
              </w:rPr>
            </w:pPr>
            <w:r>
              <w:rPr>
                <w:rFonts w:ascii="Arial" w:hAnsi="Arial" w:cs="Arial"/>
                <w:sz w:val="21"/>
                <w:szCs w:val="21"/>
              </w:rPr>
              <w:t>Dari Tanggal Penyelesaian Proyek [Terjadwal], penarikan-penarikan dari Rekening Operasional harus dilakukan untuk keperluan-keperluan berikut ini dengan urutan prioritas sebagai berikut:</w:t>
            </w:r>
          </w:p>
        </w:tc>
      </w:tr>
      <w:tr>
        <w:tblPrEx>
          <w:tblCellMar>
            <w:top w:w="0" w:type="dxa"/>
            <w:left w:w="108" w:type="dxa"/>
            <w:bottom w:w="0" w:type="dxa"/>
            <w:right w:w="108" w:type="dxa"/>
          </w:tblCellMar>
        </w:tblPrEx>
        <w:tc>
          <w:tcPr>
            <w:tcW w:w="2050" w:type="pct"/>
          </w:tcPr>
          <w:p>
            <w:pPr>
              <w:pStyle w:val="105"/>
              <w:keepNext w:val="0"/>
              <w:numPr>
                <w:ilvl w:val="0"/>
                <w:numId w:val="0"/>
              </w:numPr>
              <w:spacing w:after="120"/>
              <w:ind w:left="720" w:hanging="720"/>
              <w:rPr>
                <w:rFonts w:ascii="Arial" w:hAnsi="Arial" w:cs="Arial"/>
                <w:i/>
                <w:iCs/>
                <w:sz w:val="21"/>
                <w:szCs w:val="21"/>
              </w:rPr>
            </w:pPr>
          </w:p>
        </w:tc>
        <w:tc>
          <w:tcPr>
            <w:tcW w:w="2950" w:type="pct"/>
          </w:tcPr>
          <w:p>
            <w:pPr>
              <w:pStyle w:val="7"/>
              <w:spacing w:after="120"/>
              <w:ind w:left="720" w:hanging="720"/>
              <w:rPr>
                <w:rFonts w:ascii="Arial" w:hAnsi="Arial" w:cs="Arial"/>
                <w:sz w:val="21"/>
                <w:szCs w:val="21"/>
              </w:rPr>
            </w:pPr>
            <w:r>
              <w:rPr>
                <w:rFonts w:ascii="Arial" w:hAnsi="Arial" w:cs="Arial"/>
                <w:sz w:val="21"/>
                <w:szCs w:val="21"/>
              </w:rPr>
              <w:t>Biaya-biaya Operasional</w:t>
            </w:r>
            <w:r>
              <w:footnoteReference w:id="105"/>
            </w:r>
            <w:r>
              <w:rPr>
                <w:rFonts w:ascii="Arial" w:hAnsi="Arial" w:cs="Arial"/>
                <w:sz w:val="21"/>
                <w:szCs w:val="21"/>
              </w:rPr>
              <w:t>;</w:t>
            </w:r>
          </w:p>
          <w:p>
            <w:pPr>
              <w:pStyle w:val="7"/>
              <w:spacing w:after="120"/>
              <w:ind w:left="720" w:hanging="720"/>
              <w:rPr>
                <w:rFonts w:ascii="Arial" w:hAnsi="Arial" w:cs="Arial"/>
                <w:sz w:val="21"/>
                <w:szCs w:val="21"/>
              </w:rPr>
            </w:pPr>
            <w:r>
              <w:rPr>
                <w:rFonts w:ascii="Arial" w:hAnsi="Arial" w:cs="Arial"/>
                <w:sz w:val="21"/>
                <w:szCs w:val="21"/>
              </w:rPr>
              <w:t>biaya-biaya, beban-beban dan pengeluaran-pengeluaran Para Pihak Pembiayaan;</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sz w:val="21"/>
                <w:szCs w:val="21"/>
              </w:rPr>
              <w:t>pembayaran-pembayaran bunga terjadwal (termasuk jumlah-jumlah terjadwal yang harus dibayar berdasarkan Perjanjian-perjanjian Lindung Nilai);</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sz w:val="21"/>
                <w:szCs w:val="21"/>
              </w:rPr>
              <w:t>pembayaran-pembayaran terjadwal atas utang pokok (dan pembayaran-pembayaran pengakhiran perjanjian lindung nilai);</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sz w:val="21"/>
                <w:szCs w:val="21"/>
              </w:rPr>
              <w:t>setoran-setoran ke Maintenance Reserve Account untuk memenuhi batas saldo yang disyaratkan;</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sz w:val="21"/>
                <w:szCs w:val="21"/>
              </w:rPr>
              <w:t xml:space="preserve">setoran-setoran ke </w:t>
            </w:r>
            <w:r>
              <w:rPr>
                <w:rFonts w:ascii="Arial" w:hAnsi="Arial" w:cs="Arial"/>
                <w:i/>
                <w:sz w:val="21"/>
                <w:szCs w:val="21"/>
              </w:rPr>
              <w:t>Debt Service Reserve Account</w:t>
            </w:r>
            <w:r>
              <w:rPr>
                <w:rFonts w:ascii="Arial" w:hAnsi="Arial" w:cs="Arial"/>
                <w:sz w:val="21"/>
                <w:szCs w:val="21"/>
              </w:rPr>
              <w:t xml:space="preserve"> untuk memenuhi batas saldo yang disyaratkan;</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sz w:val="21"/>
                <w:szCs w:val="21"/>
              </w:rPr>
              <w:t>percepatan-percepatan pelunasan karena pelanggaran hukum</w:t>
            </w:r>
            <w:r>
              <w:rPr>
                <w:rStyle w:val="25"/>
                <w:rFonts w:ascii="Arial" w:hAnsi="Arial" w:cs="Arial"/>
                <w:sz w:val="21"/>
                <w:szCs w:val="21"/>
              </w:rPr>
              <w:footnoteReference w:id="106"/>
            </w:r>
            <w:r>
              <w:rPr>
                <w:rFonts w:ascii="Arial" w:hAnsi="Arial" w:cs="Arial"/>
                <w:sz w:val="21"/>
                <w:szCs w:val="21"/>
              </w:rPr>
              <w:t>;</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sz w:val="21"/>
                <w:szCs w:val="21"/>
              </w:rPr>
              <w:t>[penggunaan kelebihan kas untuk percepatan pelunasan (</w:t>
            </w:r>
            <w:r>
              <w:rPr>
                <w:rFonts w:ascii="Arial" w:hAnsi="Arial" w:cs="Arial"/>
                <w:i/>
                <w:sz w:val="21"/>
                <w:szCs w:val="21"/>
              </w:rPr>
              <w:t>cash sweep</w:t>
            </w:r>
            <w:r>
              <w:rPr>
                <w:rFonts w:ascii="Arial" w:hAnsi="Arial" w:cs="Arial"/>
                <w:sz w:val="21"/>
                <w:szCs w:val="21"/>
              </w:rPr>
              <w:t>);]</w:t>
            </w:r>
            <w:r>
              <w:rPr>
                <w:rStyle w:val="25"/>
                <w:rFonts w:ascii="Arial" w:hAnsi="Arial" w:cs="Arial"/>
                <w:sz w:val="21"/>
                <w:szCs w:val="21"/>
              </w:rPr>
              <w:footnoteReference w:id="107"/>
            </w:r>
            <w:r>
              <w:rPr>
                <w:rFonts w:ascii="Arial" w:hAnsi="Arial" w:cs="Arial"/>
                <w:sz w:val="21"/>
                <w:szCs w:val="21"/>
              </w:rPr>
              <w:t xml:space="preserve"> </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sz w:val="21"/>
                <w:szCs w:val="21"/>
              </w:rPr>
              <w:t>percepatan-percepatan pelunasan sukarela; dan</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sz w:val="21"/>
                <w:szCs w:val="21"/>
              </w:rPr>
              <w:t>jika Pengujian-pengujian Distribusi terpenuhi, setoran-setoran ke Rekening Distribusi</w:t>
            </w:r>
          </w:p>
        </w:tc>
      </w:tr>
      <w:tr>
        <w:tblPrEx>
          <w:tblCellMar>
            <w:top w:w="0" w:type="dxa"/>
            <w:left w:w="108" w:type="dxa"/>
            <w:bottom w:w="0" w:type="dxa"/>
            <w:right w:w="108" w:type="dxa"/>
          </w:tblCellMar>
        </w:tblPrEx>
        <w:tc>
          <w:tcPr>
            <w:tcW w:w="2050" w:type="pct"/>
          </w:tcPr>
          <w:p>
            <w:pPr>
              <w:pStyle w:val="105"/>
              <w:keepNext w:val="0"/>
              <w:tabs>
                <w:tab w:val="clear" w:pos="720"/>
              </w:tabs>
              <w:spacing w:after="120"/>
              <w:rPr>
                <w:rFonts w:ascii="Arial" w:hAnsi="Arial" w:cs="Arial"/>
                <w:b w:val="0"/>
                <w:sz w:val="21"/>
                <w:szCs w:val="21"/>
              </w:rPr>
            </w:pPr>
            <w:bookmarkStart w:id="147" w:name="_Toc74860697"/>
            <w:bookmarkStart w:id="148" w:name="_Toc74557551"/>
            <w:r>
              <w:rPr>
                <w:rFonts w:ascii="Arial" w:hAnsi="Arial" w:cs="Arial"/>
                <w:sz w:val="21"/>
                <w:szCs w:val="21"/>
              </w:rPr>
              <w:t>[Dukungan Kredit Yang Dapat Diterima]</w:t>
            </w:r>
            <w:r>
              <w:rPr>
                <w:rStyle w:val="25"/>
                <w:rFonts w:ascii="Arial" w:hAnsi="Arial" w:cs="Arial"/>
                <w:b w:val="0"/>
                <w:sz w:val="21"/>
                <w:szCs w:val="21"/>
              </w:rPr>
              <w:footnoteReference w:id="108"/>
            </w:r>
            <w:r>
              <w:rPr>
                <w:rFonts w:ascii="Arial" w:hAnsi="Arial" w:cs="Arial"/>
                <w:sz w:val="21"/>
                <w:szCs w:val="21"/>
              </w:rPr>
              <w:t>:</w:t>
            </w:r>
            <w:bookmarkEnd w:id="147"/>
            <w:bookmarkEnd w:id="148"/>
          </w:p>
        </w:tc>
        <w:tc>
          <w:tcPr>
            <w:tcW w:w="2950" w:type="pct"/>
          </w:tcPr>
          <w:p>
            <w:pPr>
              <w:pStyle w:val="59"/>
              <w:spacing w:after="120"/>
              <w:rPr>
                <w:rFonts w:ascii="Arial" w:hAnsi="Arial" w:cs="Arial"/>
                <w:sz w:val="21"/>
                <w:szCs w:val="21"/>
              </w:rPr>
            </w:pPr>
            <w:r>
              <w:rPr>
                <w:rFonts w:ascii="Arial" w:hAnsi="Arial" w:cs="Arial"/>
                <w:sz w:val="21"/>
                <w:szCs w:val="21"/>
              </w:rPr>
              <w:t xml:space="preserve">[Sehubungan dengan </w:t>
            </w:r>
            <w:r>
              <w:rPr>
                <w:rFonts w:ascii="Arial" w:hAnsi="Arial" w:cs="Arial"/>
                <w:i/>
                <w:sz w:val="21"/>
                <w:szCs w:val="21"/>
              </w:rPr>
              <w:t>Debt Service Reserve Account</w:t>
            </w:r>
            <w:r>
              <w:rPr>
                <w:rFonts w:ascii="Arial" w:hAnsi="Arial" w:cs="Arial"/>
                <w:sz w:val="21"/>
                <w:szCs w:val="21"/>
              </w:rPr>
              <w:t xml:space="preserve"> [dan </w:t>
            </w:r>
            <w:r>
              <w:rPr>
                <w:rFonts w:ascii="Arial" w:hAnsi="Arial" w:cs="Arial"/>
                <w:i/>
                <w:sz w:val="21"/>
                <w:szCs w:val="21"/>
              </w:rPr>
              <w:t>Maintenance Reserve Account</w:t>
            </w:r>
            <w:r>
              <w:rPr>
                <w:rFonts w:ascii="Arial" w:hAnsi="Arial" w:cs="Arial"/>
                <w:sz w:val="21"/>
                <w:szCs w:val="21"/>
              </w:rPr>
              <w:t xml:space="preserve">], </w:t>
            </w:r>
            <w:r>
              <w:rPr>
                <w:rFonts w:ascii="Arial" w:hAnsi="Arial" w:cs="Arial"/>
                <w:i/>
                <w:sz w:val="21"/>
                <w:szCs w:val="21"/>
              </w:rPr>
              <w:t>letter of credit</w:t>
            </w:r>
            <w:r>
              <w:rPr>
                <w:rFonts w:ascii="Arial" w:hAnsi="Arial" w:cs="Arial"/>
                <w:sz w:val="21"/>
                <w:szCs w:val="21"/>
              </w:rPr>
              <w:t xml:space="preserve"> atau bank garansi yang diminta, untuk kepentingan Kreditur dari suatu bank atau bank-bank yang (i) didirikan di negara anggota OECD [atau yang setara] dan (ii) memiliki peringkat kredit jangka panjang sekurang-kurangnya setara dengan [•] (S&amp;P atau Fitch) atau [•] (Moody's) dari waktu ke waktu dengan ketentuan bahwa:</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i/>
                <w:sz w:val="21"/>
                <w:szCs w:val="21"/>
              </w:rPr>
              <w:t>letter of credit</w:t>
            </w:r>
            <w:r>
              <w:rPr>
                <w:rFonts w:ascii="Arial" w:hAnsi="Arial" w:cs="Arial"/>
                <w:sz w:val="21"/>
                <w:szCs w:val="21"/>
              </w:rPr>
              <w:t xml:space="preserve"> atau bank garansi tersebut dikeluarkan dalam bentuk yang dapat diterima oleh Para Kreditur dan tidak bersyarat dan harus dibayarkan jika diminta;</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i/>
                <w:sz w:val="21"/>
                <w:szCs w:val="21"/>
              </w:rPr>
              <w:t>letter of credit</w:t>
            </w:r>
            <w:r>
              <w:rPr>
                <w:rFonts w:ascii="Arial" w:hAnsi="Arial" w:cs="Arial"/>
                <w:sz w:val="21"/>
                <w:szCs w:val="21"/>
              </w:rPr>
              <w:t xml:space="preserve"> atau bank garansi tersebut tidak tunduk pada hak untuk menuntut jaminan/hak regres (</w:t>
            </w:r>
            <w:r>
              <w:rPr>
                <w:rFonts w:ascii="Arial" w:hAnsi="Arial" w:cs="Arial"/>
                <w:i/>
                <w:sz w:val="21"/>
                <w:szCs w:val="21"/>
              </w:rPr>
              <w:t>non-recourse</w:t>
            </w:r>
            <w:r>
              <w:rPr>
                <w:rFonts w:ascii="Arial" w:hAnsi="Arial" w:cs="Arial"/>
                <w:sz w:val="21"/>
                <w:szCs w:val="21"/>
              </w:rPr>
              <w:t>) atas Perusahaan Proyek atau aset-asetnya;</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sz w:val="21"/>
                <w:szCs w:val="21"/>
              </w:rPr>
              <w:t xml:space="preserve">Perusahaan Proyek tidak memiliki kewajiban sehubungan dengan biaya penerbitan </w:t>
            </w:r>
            <w:r>
              <w:rPr>
                <w:rFonts w:ascii="Arial" w:hAnsi="Arial" w:cs="Arial"/>
                <w:i/>
                <w:sz w:val="21"/>
                <w:szCs w:val="21"/>
              </w:rPr>
              <w:t>letter of credit</w:t>
            </w:r>
            <w:r>
              <w:rPr>
                <w:rFonts w:ascii="Arial" w:hAnsi="Arial" w:cs="Arial"/>
                <w:sz w:val="21"/>
                <w:szCs w:val="21"/>
              </w:rPr>
              <w:t xml:space="preserve"> atau bank garansi tersebut; dan</w:t>
            </w:r>
          </w:p>
        </w:tc>
      </w:tr>
      <w:tr>
        <w:tblPrEx>
          <w:tblCellMar>
            <w:top w:w="0" w:type="dxa"/>
            <w:left w:w="108" w:type="dxa"/>
            <w:bottom w:w="0" w:type="dxa"/>
            <w:right w:w="108" w:type="dxa"/>
          </w:tblCellMar>
        </w:tblPrEx>
        <w:tc>
          <w:tcPr>
            <w:tcW w:w="2050" w:type="pct"/>
          </w:tcPr>
          <w:p>
            <w:pPr>
              <w:pStyle w:val="59"/>
              <w:spacing w:after="120"/>
              <w:rPr>
                <w:rFonts w:ascii="Arial" w:hAnsi="Arial" w:cs="Arial"/>
                <w:sz w:val="21"/>
                <w:szCs w:val="21"/>
              </w:rPr>
            </w:pPr>
          </w:p>
        </w:tc>
        <w:tc>
          <w:tcPr>
            <w:tcW w:w="2950" w:type="pct"/>
          </w:tcPr>
          <w:p>
            <w:pPr>
              <w:pStyle w:val="7"/>
              <w:spacing w:after="120"/>
              <w:ind w:left="720" w:hanging="720"/>
              <w:rPr>
                <w:rFonts w:ascii="Arial" w:hAnsi="Arial" w:cs="Arial"/>
                <w:sz w:val="21"/>
                <w:szCs w:val="21"/>
              </w:rPr>
            </w:pPr>
            <w:r>
              <w:rPr>
                <w:rFonts w:ascii="Arial" w:hAnsi="Arial" w:cs="Arial"/>
                <w:i/>
                <w:sz w:val="21"/>
                <w:szCs w:val="21"/>
              </w:rPr>
              <w:t>letter of credit</w:t>
            </w:r>
            <w:r>
              <w:rPr>
                <w:rFonts w:ascii="Arial" w:hAnsi="Arial" w:cs="Arial"/>
                <w:sz w:val="21"/>
                <w:szCs w:val="21"/>
              </w:rPr>
              <w:t xml:space="preserve"> atau bank garansi tersebut memiliki jangka waktu minimal 364 hari sejak tanggal diterbitkan.</w:t>
            </w:r>
          </w:p>
        </w:tc>
      </w:tr>
      <w:tr>
        <w:tblPrEx>
          <w:tblCellMar>
            <w:top w:w="0" w:type="dxa"/>
            <w:left w:w="108" w:type="dxa"/>
            <w:bottom w:w="0" w:type="dxa"/>
            <w:right w:w="108" w:type="dxa"/>
          </w:tblCellMar>
        </w:tblPrEx>
        <w:tc>
          <w:tcPr>
            <w:tcW w:w="2050" w:type="pct"/>
            <w:vMerge w:val="restart"/>
          </w:tcPr>
          <w:p>
            <w:pPr>
              <w:pStyle w:val="105"/>
              <w:keepNext w:val="0"/>
              <w:tabs>
                <w:tab w:val="clear" w:pos="720"/>
              </w:tabs>
              <w:spacing w:after="120"/>
              <w:jc w:val="both"/>
              <w:rPr>
                <w:rFonts w:ascii="Arial" w:hAnsi="Arial" w:cs="Arial"/>
                <w:b w:val="0"/>
                <w:sz w:val="21"/>
                <w:szCs w:val="21"/>
              </w:rPr>
            </w:pPr>
            <w:bookmarkStart w:id="149" w:name="_Toc74860698"/>
            <w:r>
              <w:rPr>
                <w:rFonts w:ascii="Arial" w:hAnsi="Arial" w:cs="Arial"/>
                <w:sz w:val="21"/>
                <w:szCs w:val="21"/>
              </w:rPr>
              <w:t>Pengujian-pengujian Distribusi:</w:t>
            </w:r>
            <w:bookmarkEnd w:id="149"/>
          </w:p>
        </w:tc>
        <w:tc>
          <w:tcPr>
            <w:tcW w:w="2950" w:type="pct"/>
          </w:tcPr>
          <w:p>
            <w:pPr>
              <w:pStyle w:val="59"/>
              <w:spacing w:after="120"/>
              <w:rPr>
                <w:rFonts w:ascii="Arial" w:hAnsi="Arial" w:cs="Arial"/>
                <w:sz w:val="21"/>
                <w:szCs w:val="21"/>
              </w:rPr>
            </w:pPr>
            <w:r>
              <w:rPr>
                <w:rFonts w:ascii="Arial" w:hAnsi="Arial" w:cs="Arial"/>
                <w:sz w:val="21"/>
                <w:szCs w:val="21"/>
              </w:rPr>
              <w:t xml:space="preserve">Dengan tunduk pada terpenuhinya syarat-syarat berikut ini, jumlah-jumlah yang dapat dialihkan dari Rekening Operasional ke Rekening Distribusi berdasarkan </w:t>
            </w:r>
            <w:r>
              <w:rPr>
                <w:rFonts w:ascii="Arial" w:hAnsi="Arial" w:cs="Arial"/>
                <w:i/>
                <w:sz w:val="21"/>
                <w:szCs w:val="21"/>
              </w:rPr>
              <w:t>Cash Flow Waterfall</w:t>
            </w:r>
            <w:r>
              <w:rPr>
                <w:rFonts w:ascii="Arial" w:hAnsi="Arial" w:cs="Arial"/>
                <w:sz w:val="21"/>
                <w:szCs w:val="21"/>
              </w:rPr>
              <w:t xml:space="preserve"> adalah sebagai berikut:</w:t>
            </w:r>
          </w:p>
        </w:tc>
      </w:tr>
      <w:tr>
        <w:tblPrEx>
          <w:tblCellMar>
            <w:top w:w="0" w:type="dxa"/>
            <w:left w:w="108" w:type="dxa"/>
            <w:bottom w:w="0" w:type="dxa"/>
            <w:right w:w="108" w:type="dxa"/>
          </w:tblCellMar>
        </w:tblPrEx>
        <w:tc>
          <w:tcPr>
            <w:tcW w:w="2050" w:type="pct"/>
            <w:vMerge w:val="continue"/>
          </w:tcPr>
          <w:p>
            <w:pPr>
              <w:pStyle w:val="105"/>
              <w:keepNext w:val="0"/>
              <w:tabs>
                <w:tab w:val="clear" w:pos="720"/>
              </w:tabs>
              <w:spacing w:after="120"/>
              <w:jc w:val="both"/>
              <w:rPr>
                <w:rFonts w:ascii="Arial" w:hAnsi="Arial" w:cs="Arial"/>
                <w:sz w:val="21"/>
                <w:szCs w:val="21"/>
              </w:rPr>
            </w:pPr>
          </w:p>
        </w:tc>
        <w:tc>
          <w:tcPr>
            <w:tcW w:w="2950" w:type="pct"/>
          </w:tcPr>
          <w:p>
            <w:pPr>
              <w:pStyle w:val="7"/>
              <w:numPr>
                <w:ilvl w:val="0"/>
                <w:numId w:val="35"/>
              </w:numPr>
              <w:spacing w:after="120"/>
              <w:ind w:left="720" w:hanging="720"/>
              <w:rPr>
                <w:rFonts w:ascii="Arial" w:hAnsi="Arial" w:cs="Arial"/>
                <w:sz w:val="21"/>
                <w:szCs w:val="21"/>
              </w:rPr>
            </w:pPr>
            <w:bookmarkStart w:id="150" w:name="_9kMJI5YVt39A67FTwww"/>
            <w:r>
              <w:rPr>
                <w:rFonts w:ascii="Arial" w:hAnsi="Arial" w:cs="Arial"/>
                <w:sz w:val="21"/>
                <w:szCs w:val="21"/>
              </w:rPr>
              <w:t>DSCR</w:t>
            </w:r>
            <w:bookmarkEnd w:id="150"/>
            <w:r>
              <w:rPr>
                <w:rStyle w:val="25"/>
                <w:rFonts w:ascii="Arial" w:hAnsi="Arial" w:cs="Arial"/>
                <w:sz w:val="21"/>
                <w:szCs w:val="21"/>
              </w:rPr>
              <w:footnoteReference w:id="109"/>
            </w:r>
            <w:r>
              <w:rPr>
                <w:rFonts w:ascii="Arial" w:hAnsi="Arial" w:cs="Arial"/>
                <w:sz w:val="21"/>
                <w:szCs w:val="21"/>
              </w:rPr>
              <w:t xml:space="preserve"> lebih besar dari [</w:t>
            </w:r>
            <w:bookmarkStart w:id="151" w:name="_9kML5G7ZVw9A67AB"/>
            <w:bookmarkStart w:id="152" w:name="_9kML5I6ZWu9A67EI"/>
            <w:r>
              <w:rPr>
                <w:rFonts w:ascii="Arial" w:hAnsi="Arial" w:cs="Arial"/>
                <w:sz w:val="21"/>
                <w:szCs w:val="21"/>
              </w:rPr>
              <w:t>•</w:t>
            </w:r>
            <w:bookmarkEnd w:id="151"/>
            <w:bookmarkEnd w:id="152"/>
            <w:r>
              <w:rPr>
                <w:rFonts w:ascii="Arial" w:hAnsi="Arial" w:cs="Arial"/>
                <w:sz w:val="21"/>
                <w:szCs w:val="21"/>
              </w:rPr>
              <w:t>];</w:t>
            </w:r>
          </w:p>
        </w:tc>
      </w:tr>
      <w:tr>
        <w:tblPrEx>
          <w:tblCellMar>
            <w:top w:w="0" w:type="dxa"/>
            <w:left w:w="108" w:type="dxa"/>
            <w:bottom w:w="0" w:type="dxa"/>
            <w:right w:w="108" w:type="dxa"/>
          </w:tblCellMar>
        </w:tblPrEx>
        <w:tc>
          <w:tcPr>
            <w:tcW w:w="2050" w:type="pct"/>
            <w:vMerge w:val="continue"/>
          </w:tcPr>
          <w:p>
            <w:pPr>
              <w:pStyle w:val="105"/>
              <w:keepNext w:val="0"/>
              <w:tabs>
                <w:tab w:val="clear" w:pos="720"/>
              </w:tabs>
              <w:spacing w:after="120"/>
              <w:jc w:val="both"/>
              <w:rPr>
                <w:rFonts w:ascii="Arial" w:hAnsi="Arial" w:cs="Arial"/>
                <w:sz w:val="21"/>
                <w:szCs w:val="21"/>
              </w:rPr>
            </w:pPr>
          </w:p>
        </w:tc>
        <w:tc>
          <w:tcPr>
            <w:tcW w:w="2950" w:type="pct"/>
          </w:tcPr>
          <w:p>
            <w:pPr>
              <w:pStyle w:val="7"/>
              <w:numPr>
                <w:ilvl w:val="0"/>
                <w:numId w:val="35"/>
              </w:numPr>
              <w:spacing w:after="120"/>
              <w:ind w:left="720" w:hanging="720"/>
              <w:rPr>
                <w:rFonts w:ascii="Arial" w:hAnsi="Arial" w:cs="Arial"/>
                <w:sz w:val="21"/>
                <w:szCs w:val="21"/>
              </w:rPr>
            </w:pPr>
            <w:r>
              <w:rPr>
                <w:rFonts w:ascii="Arial" w:hAnsi="Arial" w:cs="Arial"/>
                <w:sz w:val="21"/>
                <w:szCs w:val="21"/>
              </w:rPr>
              <w:t>[</w:t>
            </w:r>
            <w:bookmarkStart w:id="153" w:name="_9kMJI5YVt39A67Hdxpw"/>
            <w:r>
              <w:rPr>
                <w:rFonts w:ascii="Arial" w:hAnsi="Arial" w:cs="Arial"/>
                <w:sz w:val="21"/>
                <w:szCs w:val="21"/>
              </w:rPr>
              <w:t>LLCR</w:t>
            </w:r>
            <w:bookmarkEnd w:id="153"/>
            <w:r>
              <w:rPr>
                <w:rFonts w:ascii="Arial" w:hAnsi="Arial" w:cs="Arial"/>
                <w:sz w:val="21"/>
                <w:szCs w:val="21"/>
              </w:rPr>
              <w:t xml:space="preserve"> lebih besar dari [</w:t>
            </w:r>
            <w:bookmarkStart w:id="154" w:name="_9kML6J6ZWu9A67EI"/>
            <w:bookmarkStart w:id="155" w:name="_9kML6H7ZVw9A67AB"/>
            <w:r>
              <w:rPr>
                <w:rFonts w:ascii="Arial" w:hAnsi="Arial" w:cs="Arial"/>
                <w:sz w:val="21"/>
                <w:szCs w:val="21"/>
              </w:rPr>
              <w:t>•</w:t>
            </w:r>
            <w:bookmarkEnd w:id="154"/>
            <w:bookmarkEnd w:id="155"/>
            <w:r>
              <w:rPr>
                <w:rFonts w:ascii="Arial" w:hAnsi="Arial" w:cs="Arial"/>
                <w:sz w:val="21"/>
                <w:szCs w:val="21"/>
              </w:rPr>
              <w:t>];]</w:t>
            </w:r>
            <w:r>
              <w:rPr>
                <w:rStyle w:val="25"/>
                <w:rFonts w:ascii="Arial" w:hAnsi="Arial" w:cs="Arial"/>
                <w:sz w:val="21"/>
                <w:szCs w:val="21"/>
              </w:rPr>
              <w:footnoteReference w:id="110"/>
            </w:r>
            <w:r>
              <w:rPr>
                <w:rFonts w:ascii="Arial" w:hAnsi="Arial" w:cs="Arial"/>
                <w:sz w:val="21"/>
                <w:szCs w:val="21"/>
              </w:rPr>
              <w:t xml:space="preserve"> </w:t>
            </w:r>
          </w:p>
        </w:tc>
      </w:tr>
      <w:tr>
        <w:tblPrEx>
          <w:tblCellMar>
            <w:top w:w="0" w:type="dxa"/>
            <w:left w:w="108" w:type="dxa"/>
            <w:bottom w:w="0" w:type="dxa"/>
            <w:right w:w="108" w:type="dxa"/>
          </w:tblCellMar>
        </w:tblPrEx>
        <w:tc>
          <w:tcPr>
            <w:tcW w:w="2050" w:type="pct"/>
            <w:vMerge w:val="continue"/>
          </w:tcPr>
          <w:p>
            <w:pPr>
              <w:pStyle w:val="105"/>
              <w:keepNext w:val="0"/>
              <w:tabs>
                <w:tab w:val="clear" w:pos="720"/>
              </w:tabs>
              <w:spacing w:after="120"/>
              <w:jc w:val="both"/>
              <w:rPr>
                <w:rFonts w:ascii="Arial" w:hAnsi="Arial" w:cs="Arial"/>
                <w:sz w:val="21"/>
                <w:szCs w:val="21"/>
              </w:rPr>
            </w:pPr>
          </w:p>
        </w:tc>
        <w:tc>
          <w:tcPr>
            <w:tcW w:w="2950" w:type="pct"/>
          </w:tcPr>
          <w:p>
            <w:pPr>
              <w:pStyle w:val="7"/>
              <w:numPr>
                <w:ilvl w:val="0"/>
                <w:numId w:val="35"/>
              </w:numPr>
              <w:spacing w:after="120"/>
              <w:ind w:left="720" w:hanging="720"/>
              <w:rPr>
                <w:rFonts w:ascii="Arial" w:hAnsi="Arial" w:cs="Arial"/>
                <w:sz w:val="21"/>
                <w:szCs w:val="21"/>
              </w:rPr>
            </w:pPr>
            <w:r>
              <w:rPr>
                <w:rFonts w:ascii="Arial" w:hAnsi="Arial" w:cs="Arial"/>
                <w:sz w:val="21"/>
                <w:szCs w:val="21"/>
              </w:rPr>
              <w:t>[tanggal pembayaran kembali pertama berdasarkan Fasilitas-fasilitas Pinjaman Berjangka A telah terjadi;]</w:t>
            </w:r>
          </w:p>
        </w:tc>
      </w:tr>
      <w:tr>
        <w:tblPrEx>
          <w:tblCellMar>
            <w:top w:w="0" w:type="dxa"/>
            <w:left w:w="108" w:type="dxa"/>
            <w:bottom w:w="0" w:type="dxa"/>
            <w:right w:w="108" w:type="dxa"/>
          </w:tblCellMar>
        </w:tblPrEx>
        <w:tc>
          <w:tcPr>
            <w:tcW w:w="2050" w:type="pct"/>
            <w:vMerge w:val="continue"/>
          </w:tcPr>
          <w:p>
            <w:pPr>
              <w:pStyle w:val="105"/>
              <w:keepNext w:val="0"/>
              <w:tabs>
                <w:tab w:val="clear" w:pos="720"/>
              </w:tabs>
              <w:spacing w:after="120"/>
              <w:jc w:val="both"/>
              <w:rPr>
                <w:rFonts w:ascii="Arial" w:hAnsi="Arial" w:cs="Arial"/>
                <w:sz w:val="21"/>
                <w:szCs w:val="21"/>
              </w:rPr>
            </w:pPr>
          </w:p>
        </w:tc>
        <w:tc>
          <w:tcPr>
            <w:tcW w:w="2950" w:type="pct"/>
          </w:tcPr>
          <w:p>
            <w:pPr>
              <w:pStyle w:val="7"/>
              <w:numPr>
                <w:ilvl w:val="0"/>
                <w:numId w:val="35"/>
              </w:numPr>
              <w:spacing w:after="120"/>
              <w:ind w:left="720" w:hanging="720"/>
              <w:rPr>
                <w:rFonts w:ascii="Arial" w:hAnsi="Arial" w:cs="Arial"/>
                <w:sz w:val="21"/>
                <w:szCs w:val="21"/>
              </w:rPr>
            </w:pPr>
            <w:r>
              <w:rPr>
                <w:rFonts w:ascii="Arial" w:hAnsi="Arial" w:cs="Arial"/>
                <w:sz w:val="21"/>
                <w:szCs w:val="21"/>
              </w:rPr>
              <w:t>[Tanggal Penyelesaian Proyek]/[Tanggal Penyelesaian Finansial] telah terjadi;</w:t>
            </w:r>
          </w:p>
        </w:tc>
      </w:tr>
      <w:tr>
        <w:tblPrEx>
          <w:tblCellMar>
            <w:top w:w="0" w:type="dxa"/>
            <w:left w:w="108" w:type="dxa"/>
            <w:bottom w:w="0" w:type="dxa"/>
            <w:right w:w="108" w:type="dxa"/>
          </w:tblCellMar>
        </w:tblPrEx>
        <w:tc>
          <w:tcPr>
            <w:tcW w:w="2050" w:type="pct"/>
            <w:vMerge w:val="continue"/>
          </w:tcPr>
          <w:p>
            <w:pPr>
              <w:pStyle w:val="105"/>
              <w:keepNext w:val="0"/>
              <w:tabs>
                <w:tab w:val="clear" w:pos="720"/>
              </w:tabs>
              <w:spacing w:after="120"/>
              <w:jc w:val="both"/>
              <w:rPr>
                <w:rFonts w:ascii="Arial" w:hAnsi="Arial" w:cs="Arial"/>
                <w:sz w:val="21"/>
                <w:szCs w:val="21"/>
              </w:rPr>
            </w:pPr>
          </w:p>
        </w:tc>
        <w:tc>
          <w:tcPr>
            <w:tcW w:w="2950" w:type="pct"/>
          </w:tcPr>
          <w:p>
            <w:pPr>
              <w:pStyle w:val="7"/>
              <w:numPr>
                <w:ilvl w:val="0"/>
                <w:numId w:val="35"/>
              </w:numPr>
              <w:spacing w:after="120"/>
              <w:ind w:left="720" w:hanging="720"/>
              <w:rPr>
                <w:rFonts w:ascii="Arial" w:hAnsi="Arial" w:cs="Arial"/>
                <w:sz w:val="21"/>
                <w:szCs w:val="21"/>
              </w:rPr>
            </w:pPr>
            <w:r>
              <w:rPr>
                <w:rFonts w:ascii="Arial" w:hAnsi="Arial" w:cs="Arial"/>
                <w:i/>
                <w:sz w:val="21"/>
                <w:szCs w:val="21"/>
              </w:rPr>
              <w:t>Debt Service Reserve Account</w:t>
            </w:r>
            <w:r>
              <w:rPr>
                <w:rFonts w:ascii="Arial" w:hAnsi="Arial" w:cs="Arial"/>
                <w:sz w:val="21"/>
                <w:szCs w:val="21"/>
              </w:rPr>
              <w:t xml:space="preserve"> [dan </w:t>
            </w:r>
            <w:r>
              <w:rPr>
                <w:rFonts w:ascii="Arial" w:hAnsi="Arial" w:cs="Arial"/>
                <w:i/>
                <w:sz w:val="21"/>
                <w:szCs w:val="21"/>
              </w:rPr>
              <w:t>Maintenance Reserve Account</w:t>
            </w:r>
            <w:r>
              <w:rPr>
                <w:rFonts w:ascii="Arial" w:hAnsi="Arial" w:cs="Arial"/>
                <w:sz w:val="21"/>
                <w:szCs w:val="21"/>
              </w:rPr>
              <w:t xml:space="preserve">] diberi pendanaan penuh [baik secara tunai maupun melalui Dukungan Kredit Yang Dapat Diterima]; </w:t>
            </w:r>
          </w:p>
        </w:tc>
      </w:tr>
      <w:tr>
        <w:tblPrEx>
          <w:tblCellMar>
            <w:top w:w="0" w:type="dxa"/>
            <w:left w:w="108" w:type="dxa"/>
            <w:bottom w:w="0" w:type="dxa"/>
            <w:right w:w="108" w:type="dxa"/>
          </w:tblCellMar>
        </w:tblPrEx>
        <w:tc>
          <w:tcPr>
            <w:tcW w:w="2050" w:type="pct"/>
            <w:vMerge w:val="continue"/>
          </w:tcPr>
          <w:p>
            <w:pPr>
              <w:pStyle w:val="105"/>
              <w:keepNext w:val="0"/>
              <w:tabs>
                <w:tab w:val="clear" w:pos="720"/>
              </w:tabs>
              <w:spacing w:after="120"/>
              <w:jc w:val="both"/>
              <w:rPr>
                <w:rFonts w:ascii="Arial" w:hAnsi="Arial" w:cs="Arial"/>
                <w:sz w:val="21"/>
                <w:szCs w:val="21"/>
              </w:rPr>
            </w:pPr>
          </w:p>
        </w:tc>
        <w:tc>
          <w:tcPr>
            <w:tcW w:w="2950" w:type="pct"/>
          </w:tcPr>
          <w:p>
            <w:pPr>
              <w:pStyle w:val="7"/>
              <w:numPr>
                <w:ilvl w:val="0"/>
                <w:numId w:val="35"/>
              </w:numPr>
              <w:spacing w:after="120"/>
              <w:ind w:left="720" w:hanging="720"/>
              <w:rPr>
                <w:rFonts w:ascii="Arial" w:hAnsi="Arial" w:cs="Arial"/>
                <w:sz w:val="21"/>
                <w:szCs w:val="21"/>
              </w:rPr>
            </w:pPr>
            <w:r>
              <w:rPr>
                <w:rFonts w:ascii="Arial" w:hAnsi="Arial" w:cs="Arial"/>
                <w:sz w:val="21"/>
                <w:szCs w:val="21"/>
              </w:rPr>
              <w:t xml:space="preserve">Perusahaan Proyek telah melakukan seluruh percepatan pelunasan wajib yang terutang saat itu; </w:t>
            </w:r>
          </w:p>
        </w:tc>
      </w:tr>
      <w:tr>
        <w:tblPrEx>
          <w:tblCellMar>
            <w:top w:w="0" w:type="dxa"/>
            <w:left w:w="108" w:type="dxa"/>
            <w:bottom w:w="0" w:type="dxa"/>
            <w:right w:w="108" w:type="dxa"/>
          </w:tblCellMar>
        </w:tblPrEx>
        <w:tc>
          <w:tcPr>
            <w:tcW w:w="2050" w:type="pct"/>
            <w:vMerge w:val="continue"/>
          </w:tcPr>
          <w:p>
            <w:pPr>
              <w:pStyle w:val="105"/>
              <w:keepNext w:val="0"/>
              <w:tabs>
                <w:tab w:val="clear" w:pos="720"/>
              </w:tabs>
              <w:spacing w:after="120"/>
              <w:jc w:val="both"/>
              <w:rPr>
                <w:rFonts w:ascii="Arial" w:hAnsi="Arial" w:cs="Arial"/>
                <w:sz w:val="21"/>
                <w:szCs w:val="21"/>
              </w:rPr>
            </w:pPr>
          </w:p>
        </w:tc>
        <w:tc>
          <w:tcPr>
            <w:tcW w:w="2950" w:type="pct"/>
          </w:tcPr>
          <w:p>
            <w:pPr>
              <w:pStyle w:val="7"/>
              <w:numPr>
                <w:ilvl w:val="0"/>
                <w:numId w:val="35"/>
              </w:numPr>
              <w:spacing w:after="120"/>
              <w:ind w:left="720" w:hanging="720"/>
              <w:rPr>
                <w:rFonts w:ascii="Arial" w:hAnsi="Arial" w:cs="Arial"/>
                <w:sz w:val="21"/>
                <w:szCs w:val="21"/>
              </w:rPr>
            </w:pPr>
            <w:r>
              <w:rPr>
                <w:rFonts w:ascii="Arial" w:hAnsi="Arial" w:cs="Arial"/>
                <w:sz w:val="21"/>
                <w:szCs w:val="21"/>
              </w:rPr>
              <w:t>pembayaran yang dibatasi tersebut diizinkan oleh peraturan perundang-undangan yang berlaku; dan</w:t>
            </w:r>
          </w:p>
        </w:tc>
      </w:tr>
      <w:tr>
        <w:tblPrEx>
          <w:tblCellMar>
            <w:top w:w="0" w:type="dxa"/>
            <w:left w:w="108" w:type="dxa"/>
            <w:bottom w:w="0" w:type="dxa"/>
            <w:right w:w="108" w:type="dxa"/>
          </w:tblCellMar>
        </w:tblPrEx>
        <w:tc>
          <w:tcPr>
            <w:tcW w:w="2050" w:type="pct"/>
            <w:vMerge w:val="continue"/>
          </w:tcPr>
          <w:p>
            <w:pPr>
              <w:pStyle w:val="105"/>
              <w:keepNext w:val="0"/>
              <w:tabs>
                <w:tab w:val="clear" w:pos="720"/>
              </w:tabs>
              <w:spacing w:after="120"/>
              <w:jc w:val="both"/>
              <w:rPr>
                <w:rFonts w:ascii="Arial" w:hAnsi="Arial" w:cs="Arial"/>
                <w:sz w:val="21"/>
                <w:szCs w:val="21"/>
              </w:rPr>
            </w:pPr>
          </w:p>
        </w:tc>
        <w:tc>
          <w:tcPr>
            <w:tcW w:w="2950" w:type="pct"/>
          </w:tcPr>
          <w:p>
            <w:pPr>
              <w:pStyle w:val="7"/>
              <w:numPr>
                <w:ilvl w:val="0"/>
                <w:numId w:val="35"/>
              </w:numPr>
              <w:spacing w:after="120"/>
              <w:ind w:left="720" w:hanging="720"/>
              <w:rPr>
                <w:rFonts w:ascii="Arial" w:hAnsi="Arial" w:cs="Arial"/>
                <w:sz w:val="21"/>
                <w:szCs w:val="21"/>
              </w:rPr>
            </w:pPr>
            <w:r>
              <w:rPr>
                <w:rFonts w:ascii="Arial" w:hAnsi="Arial" w:cs="Arial"/>
                <w:sz w:val="21"/>
                <w:szCs w:val="21"/>
              </w:rPr>
              <w:t>tidak ada Cedera Janji yang berlanjut atau disebabkan oleh transfer pembayaran terkait.</w:t>
            </w:r>
          </w:p>
        </w:tc>
      </w:tr>
      <w:tr>
        <w:tblPrEx>
          <w:tblCellMar>
            <w:top w:w="0" w:type="dxa"/>
            <w:left w:w="108" w:type="dxa"/>
            <w:bottom w:w="0" w:type="dxa"/>
            <w:right w:w="108" w:type="dxa"/>
          </w:tblCellMar>
        </w:tblPrEx>
        <w:tc>
          <w:tcPr>
            <w:tcW w:w="2050" w:type="pct"/>
            <w:vMerge w:val="continue"/>
          </w:tcPr>
          <w:p>
            <w:pPr>
              <w:pStyle w:val="3"/>
              <w:widowControl w:val="0"/>
              <w:spacing w:after="120"/>
              <w:jc w:val="left"/>
              <w:rPr>
                <w:rFonts w:ascii="Arial" w:hAnsi="Arial" w:cs="Arial"/>
                <w:b/>
                <w:bCs/>
                <w:sz w:val="21"/>
                <w:szCs w:val="21"/>
              </w:rPr>
            </w:pPr>
          </w:p>
        </w:tc>
        <w:tc>
          <w:tcPr>
            <w:tcW w:w="2950" w:type="pct"/>
          </w:tcPr>
          <w:p>
            <w:pPr>
              <w:pStyle w:val="59"/>
              <w:spacing w:after="120"/>
              <w:rPr>
                <w:rFonts w:ascii="Arial" w:hAnsi="Arial" w:cs="Arial"/>
                <w:sz w:val="21"/>
                <w:szCs w:val="21"/>
              </w:rPr>
            </w:pPr>
            <w:r>
              <w:rPr>
                <w:rFonts w:ascii="Arial" w:hAnsi="Arial" w:cs="Arial"/>
                <w:sz w:val="21"/>
                <w:szCs w:val="21"/>
              </w:rPr>
              <w:t>Transfer-tran</w:t>
            </w:r>
            <w:r>
              <w:rPr>
                <w:rFonts w:ascii="Arial" w:hAnsi="Arial" w:cs="Arial"/>
                <w:sz w:val="21"/>
                <w:szCs w:val="21"/>
                <w:lang w:val="en-US"/>
              </w:rPr>
              <w:t>s</w:t>
            </w:r>
            <w:r>
              <w:rPr>
                <w:rFonts w:ascii="Arial" w:hAnsi="Arial" w:cs="Arial"/>
                <w:sz w:val="21"/>
                <w:szCs w:val="21"/>
              </w:rPr>
              <w:t>fer ke Rekening Distribusi harus dilakukan dalam waktu [30] Hari Kerja sejak tanggal pembayaran kembali dan jumlah yang dialihkan tidak boleh melebihi batas bawah dari jumlah yang dikreditkan ke Rekening Operasi pada Tanggal Pembayaran Kembali yang terkait (setelah melakukan semua pembayaran dengan prioritas yang lebih tinggi) dan jumlah yang dikreditkan ke Rekening Operasional pada tanggal dilakukannya transfer tersebut.</w:t>
            </w:r>
          </w:p>
        </w:tc>
      </w:tr>
    </w:tbl>
    <w:p>
      <w:pPr>
        <w:pStyle w:val="3"/>
        <w:widowControl w:val="0"/>
        <w:spacing w:after="120"/>
        <w:rPr>
          <w:rFonts w:ascii="Arial" w:hAnsi="Arial" w:cs="Arial"/>
          <w:sz w:val="21"/>
          <w:szCs w:val="21"/>
        </w:rPr>
      </w:pPr>
    </w:p>
    <w:p>
      <w:pPr>
        <w:pStyle w:val="107"/>
        <w:pageBreakBefore/>
        <w:spacing w:after="120"/>
        <w:rPr>
          <w:rFonts w:ascii="Arial" w:hAnsi="Arial" w:eastAsia="Times New Roman" w:cs="Arial"/>
          <w:sz w:val="21"/>
          <w:szCs w:val="21"/>
        </w:rPr>
      </w:pPr>
      <w:bookmarkStart w:id="156" w:name="_Toc74860699"/>
      <w:bookmarkStart w:id="157" w:name="_Toc74557553"/>
      <w:r>
        <w:rPr>
          <w:rFonts w:ascii="Arial" w:hAnsi="Arial" w:eastAsia="Times New Roman" w:cs="Arial"/>
          <w:i/>
          <w:sz w:val="21"/>
          <w:szCs w:val="21"/>
        </w:rPr>
        <w:t>FINANCIAL MODEL</w:t>
      </w:r>
      <w:r>
        <w:rPr>
          <w:rFonts w:ascii="Arial" w:hAnsi="Arial" w:eastAsia="Times New Roman" w:cs="Arial"/>
          <w:sz w:val="21"/>
          <w:szCs w:val="21"/>
        </w:rPr>
        <w:t>, KASUS DASAR, LAPORAN</w:t>
      </w:r>
      <w:r>
        <w:rPr>
          <w:rFonts w:ascii="Arial" w:hAnsi="Arial" w:eastAsia="Times New Roman" w:cs="Arial"/>
          <w:sz w:val="21"/>
          <w:szCs w:val="21"/>
          <w:lang w:val="en-US"/>
        </w:rPr>
        <w:t xml:space="preserve"> </w:t>
      </w:r>
      <w:r>
        <w:rPr>
          <w:rFonts w:ascii="Arial" w:hAnsi="Arial" w:eastAsia="Times New Roman" w:cs="Arial"/>
          <w:sz w:val="21"/>
          <w:szCs w:val="21"/>
        </w:rPr>
        <w:t>KEUANGAN DAN RASIO-RASIO</w:t>
      </w:r>
      <w:r>
        <w:rPr>
          <w:rStyle w:val="25"/>
          <w:rFonts w:ascii="Arial" w:hAnsi="Arial" w:cs="Arial"/>
          <w:sz w:val="21"/>
          <w:szCs w:val="21"/>
        </w:rPr>
        <w:footnoteReference w:id="111"/>
      </w:r>
      <w:bookmarkEnd w:id="156"/>
      <w:bookmarkEnd w:id="157"/>
    </w:p>
    <w:tbl>
      <w:tblPr>
        <w:tblStyle w:val="17"/>
        <w:tblW w:w="5000" w:type="pct"/>
        <w:tblInd w:w="0" w:type="dxa"/>
        <w:tblLayout w:type="fixed"/>
        <w:tblCellMar>
          <w:top w:w="0" w:type="dxa"/>
          <w:left w:w="108" w:type="dxa"/>
          <w:bottom w:w="0" w:type="dxa"/>
          <w:right w:w="108" w:type="dxa"/>
        </w:tblCellMar>
      </w:tblPr>
      <w:tblGrid>
        <w:gridCol w:w="3644"/>
        <w:gridCol w:w="5239"/>
      </w:tblGrid>
      <w:tr>
        <w:tblPrEx>
          <w:tblCellMar>
            <w:top w:w="0" w:type="dxa"/>
            <w:left w:w="108" w:type="dxa"/>
            <w:bottom w:w="0" w:type="dxa"/>
            <w:right w:w="108" w:type="dxa"/>
          </w:tblCellMar>
        </w:tblPrEx>
        <w:tc>
          <w:tcPr>
            <w:tcW w:w="3555" w:type="dxa"/>
          </w:tcPr>
          <w:p>
            <w:pPr>
              <w:pStyle w:val="105"/>
              <w:keepNext w:val="0"/>
              <w:tabs>
                <w:tab w:val="clear" w:pos="720"/>
              </w:tabs>
              <w:spacing w:after="120"/>
              <w:rPr>
                <w:rFonts w:ascii="Arial" w:hAnsi="Arial" w:cs="Arial"/>
                <w:b w:val="0"/>
                <w:sz w:val="21"/>
                <w:szCs w:val="21"/>
              </w:rPr>
            </w:pPr>
            <w:bookmarkStart w:id="158" w:name="_Toc74557554"/>
            <w:bookmarkStart w:id="159" w:name="_Toc74860700"/>
            <w:r>
              <w:rPr>
                <w:rFonts w:ascii="Arial" w:hAnsi="Arial" w:cs="Arial"/>
                <w:i/>
                <w:sz w:val="21"/>
                <w:szCs w:val="21"/>
              </w:rPr>
              <w:t>Financial Model</w:t>
            </w:r>
            <w:r>
              <w:rPr>
                <w:rFonts w:ascii="Arial" w:hAnsi="Arial" w:cs="Arial"/>
                <w:sz w:val="21"/>
                <w:szCs w:val="21"/>
              </w:rPr>
              <w:t>:</w:t>
            </w:r>
            <w:bookmarkEnd w:id="158"/>
            <w:bookmarkEnd w:id="159"/>
          </w:p>
        </w:tc>
        <w:tc>
          <w:tcPr>
            <w:tcW w:w="5112" w:type="dxa"/>
          </w:tcPr>
          <w:p>
            <w:pPr>
              <w:pStyle w:val="57"/>
              <w:widowControl w:val="0"/>
              <w:numPr>
                <w:ilvl w:val="1"/>
                <w:numId w:val="36"/>
              </w:numPr>
              <w:tabs>
                <w:tab w:val="clear" w:pos="720"/>
              </w:tabs>
              <w:spacing w:after="120"/>
              <w:rPr>
                <w:rFonts w:ascii="Arial" w:hAnsi="Arial" w:cs="Arial"/>
                <w:sz w:val="21"/>
                <w:szCs w:val="21"/>
              </w:rPr>
            </w:pPr>
            <w:r>
              <w:rPr>
                <w:rFonts w:ascii="Arial" w:hAnsi="Arial" w:cs="Arial"/>
                <w:i/>
                <w:sz w:val="21"/>
                <w:szCs w:val="21"/>
              </w:rPr>
              <w:t>Financial Model</w:t>
            </w:r>
            <w:r>
              <w:rPr>
                <w:rFonts w:ascii="Arial" w:hAnsi="Arial" w:cs="Arial"/>
                <w:sz w:val="21"/>
                <w:szCs w:val="21"/>
              </w:rPr>
              <w:t xml:space="preserve"> akan disepakati antara Perusahaan Proyek dan Agen </w:t>
            </w:r>
            <w:r>
              <w:rPr>
                <w:rFonts w:ascii="Arial" w:hAnsi="Arial" w:cs="Arial"/>
                <w:sz w:val="21"/>
                <w:szCs w:val="21"/>
                <w:lang w:val="en-US"/>
              </w:rPr>
              <w:t>Antarkreditur</w:t>
            </w:r>
            <w:r>
              <w:rPr>
                <w:rFonts w:ascii="Arial" w:hAnsi="Arial" w:cs="Arial"/>
                <w:sz w:val="21"/>
                <w:szCs w:val="21"/>
              </w:rPr>
              <w:t xml:space="preserve"> (dengan masukan dari Model Auditor) pada Tanggal Penandatanganan dan akan didasarkan pada asumsi-asumsi konstruksi dan operasional yang disetujui oleh Agen </w:t>
            </w:r>
            <w:r>
              <w:rPr>
                <w:rFonts w:ascii="Arial" w:hAnsi="Arial" w:cs="Arial"/>
                <w:sz w:val="21"/>
                <w:szCs w:val="21"/>
                <w:lang w:val="en-US"/>
              </w:rPr>
              <w:t>Antarkreditur</w:t>
            </w:r>
            <w:r>
              <w:rPr>
                <w:rFonts w:ascii="Arial" w:hAnsi="Arial" w:cs="Arial"/>
                <w:sz w:val="21"/>
                <w:szCs w:val="21"/>
              </w:rPr>
              <w:t xml:space="preserve"> (dengan masukan dari Penasihat Teknis). Perusahaan Proyek akan mempertahankan </w:t>
            </w:r>
            <w:r>
              <w:rPr>
                <w:rFonts w:ascii="Arial" w:hAnsi="Arial" w:cs="Arial"/>
                <w:i/>
                <w:sz w:val="21"/>
                <w:szCs w:val="21"/>
              </w:rPr>
              <w:t>Financial Model</w:t>
            </w:r>
            <w:r>
              <w:rPr>
                <w:rFonts w:ascii="Arial" w:hAnsi="Arial" w:cs="Arial"/>
                <w:sz w:val="21"/>
                <w:szCs w:val="21"/>
              </w:rPr>
              <w:t xml:space="preserve"> tersebut.</w:t>
            </w:r>
          </w:p>
        </w:tc>
      </w:tr>
      <w:tr>
        <w:tblPrEx>
          <w:tblCellMar>
            <w:top w:w="0" w:type="dxa"/>
            <w:left w:w="108" w:type="dxa"/>
            <w:bottom w:w="0" w:type="dxa"/>
            <w:right w:w="108" w:type="dxa"/>
          </w:tblCellMar>
        </w:tblPrEx>
        <w:tc>
          <w:tcPr>
            <w:tcW w:w="3555" w:type="dxa"/>
          </w:tcPr>
          <w:p>
            <w:pPr>
              <w:pStyle w:val="57"/>
              <w:widowControl w:val="0"/>
              <w:numPr>
                <w:ilvl w:val="0"/>
                <w:numId w:val="0"/>
              </w:numPr>
              <w:tabs>
                <w:tab w:val="clear" w:pos="720"/>
              </w:tabs>
              <w:spacing w:after="120"/>
              <w:rPr>
                <w:rFonts w:ascii="Arial" w:hAnsi="Arial" w:cs="Arial"/>
                <w:i/>
                <w:sz w:val="21"/>
                <w:szCs w:val="21"/>
              </w:rPr>
            </w:pPr>
          </w:p>
        </w:tc>
        <w:tc>
          <w:tcPr>
            <w:tcW w:w="5112" w:type="dxa"/>
          </w:tcPr>
          <w:p>
            <w:pPr>
              <w:pStyle w:val="57"/>
              <w:tabs>
                <w:tab w:val="clear" w:pos="720"/>
              </w:tabs>
              <w:spacing w:after="120"/>
              <w:rPr>
                <w:rFonts w:ascii="Arial" w:hAnsi="Arial" w:cs="Arial"/>
                <w:sz w:val="21"/>
                <w:szCs w:val="21"/>
              </w:rPr>
            </w:pPr>
            <w:r>
              <w:rPr>
                <w:rFonts w:ascii="Arial" w:hAnsi="Arial" w:cs="Arial"/>
                <w:sz w:val="21"/>
                <w:szCs w:val="21"/>
              </w:rPr>
              <w:t xml:space="preserve">Perusahaan Proyek hanya dapat mengubah </w:t>
            </w:r>
            <w:r>
              <w:rPr>
                <w:rFonts w:ascii="Arial" w:hAnsi="Arial" w:cs="Arial"/>
                <w:i/>
                <w:sz w:val="21"/>
                <w:szCs w:val="21"/>
              </w:rPr>
              <w:t>Financial Model</w:t>
            </w:r>
            <w:r>
              <w:rPr>
                <w:rFonts w:ascii="Arial" w:hAnsi="Arial" w:cs="Arial"/>
                <w:sz w:val="21"/>
                <w:szCs w:val="21"/>
              </w:rPr>
              <w:t xml:space="preserve"> dengan memperoleh persetujuan terlebih dahulu dari Agen </w:t>
            </w:r>
            <w:r>
              <w:rPr>
                <w:rFonts w:ascii="Arial" w:hAnsi="Arial" w:cs="Arial"/>
                <w:sz w:val="21"/>
                <w:szCs w:val="21"/>
                <w:lang w:val="en-US"/>
              </w:rPr>
              <w:t>Antarkreditur</w:t>
            </w:r>
            <w:r>
              <w:rPr>
                <w:rFonts w:ascii="Arial" w:hAnsi="Arial" w:cs="Arial"/>
                <w:sz w:val="21"/>
                <w:szCs w:val="21"/>
              </w:rPr>
              <w:t xml:space="preserve"> (bertindak berdasarkan perintah-perintah dari Para Kreditur Mayoritas). </w:t>
            </w:r>
          </w:p>
        </w:tc>
      </w:tr>
      <w:tr>
        <w:tblPrEx>
          <w:tblCellMar>
            <w:top w:w="0" w:type="dxa"/>
            <w:left w:w="108" w:type="dxa"/>
            <w:bottom w:w="0" w:type="dxa"/>
            <w:right w:w="108" w:type="dxa"/>
          </w:tblCellMar>
        </w:tblPrEx>
        <w:tc>
          <w:tcPr>
            <w:tcW w:w="3555" w:type="dxa"/>
          </w:tcPr>
          <w:p>
            <w:pPr>
              <w:pStyle w:val="57"/>
              <w:widowControl w:val="0"/>
              <w:numPr>
                <w:ilvl w:val="0"/>
                <w:numId w:val="0"/>
              </w:numPr>
              <w:tabs>
                <w:tab w:val="clear" w:pos="720"/>
              </w:tabs>
              <w:spacing w:after="120"/>
              <w:rPr>
                <w:rFonts w:ascii="Arial" w:hAnsi="Arial" w:cs="Arial"/>
                <w:i/>
                <w:sz w:val="21"/>
                <w:szCs w:val="21"/>
              </w:rPr>
            </w:pPr>
          </w:p>
        </w:tc>
        <w:tc>
          <w:tcPr>
            <w:tcW w:w="5112" w:type="dxa"/>
          </w:tcPr>
          <w:p>
            <w:pPr>
              <w:pStyle w:val="57"/>
              <w:tabs>
                <w:tab w:val="clear" w:pos="720"/>
              </w:tabs>
              <w:spacing w:after="120"/>
              <w:rPr>
                <w:rFonts w:ascii="Arial" w:hAnsi="Arial" w:cs="Arial"/>
                <w:i/>
                <w:sz w:val="21"/>
                <w:szCs w:val="21"/>
              </w:rPr>
            </w:pPr>
            <w:r>
              <w:rPr>
                <w:rFonts w:ascii="Arial" w:hAnsi="Arial" w:cs="Arial"/>
                <w:sz w:val="21"/>
                <w:szCs w:val="21"/>
              </w:rPr>
              <w:t xml:space="preserve">Perusahaan Proyek atau Agen </w:t>
            </w:r>
            <w:r>
              <w:rPr>
                <w:rFonts w:ascii="Arial" w:hAnsi="Arial" w:cs="Arial"/>
                <w:sz w:val="21"/>
                <w:szCs w:val="21"/>
                <w:lang w:val="en-US"/>
              </w:rPr>
              <w:t>Antarkreditur</w:t>
            </w:r>
            <w:r>
              <w:rPr>
                <w:rFonts w:ascii="Arial" w:hAnsi="Arial" w:cs="Arial"/>
                <w:sz w:val="21"/>
                <w:szCs w:val="21"/>
              </w:rPr>
              <w:t xml:space="preserve"> masing-masing dapat mengusulkan perubahan-perubahan struktural terhadap </w:t>
            </w:r>
            <w:r>
              <w:rPr>
                <w:rFonts w:ascii="Arial" w:hAnsi="Arial" w:cs="Arial"/>
                <w:i/>
                <w:sz w:val="21"/>
                <w:szCs w:val="21"/>
              </w:rPr>
              <w:t>Financial Model</w:t>
            </w:r>
            <w:r>
              <w:rPr>
                <w:rFonts w:ascii="Arial" w:hAnsi="Arial" w:cs="Arial"/>
                <w:sz w:val="21"/>
                <w:szCs w:val="21"/>
              </w:rPr>
              <w:t xml:space="preserve"> (disertai dengan alasan-alasan diajukannya usulan tersebut), dengan ketentuan, dalam hal Agen </w:t>
            </w:r>
            <w:r>
              <w:rPr>
                <w:rFonts w:ascii="Arial" w:hAnsi="Arial" w:cs="Arial"/>
                <w:sz w:val="21"/>
                <w:szCs w:val="21"/>
                <w:lang w:val="en-US"/>
              </w:rPr>
              <w:t>Antarkreditur</w:t>
            </w:r>
            <w:r>
              <w:rPr>
                <w:rFonts w:ascii="Arial" w:hAnsi="Arial" w:cs="Arial"/>
                <w:sz w:val="21"/>
                <w:szCs w:val="21"/>
              </w:rPr>
              <w:t xml:space="preserve">, hanya untuk tujuan memperbaiki kesalahan atau cacat apapun atau untuk menyesuaikan bentuk secara logis atau metodologi untuk melakukan perhitungan-perhitungan sesuai dengan Dokumen-dokumen Pembiayaan, dan setiap perubahan yang disepakati harus tercermin dalam </w:t>
            </w:r>
            <w:r>
              <w:rPr>
                <w:rFonts w:ascii="Arial" w:hAnsi="Arial" w:cs="Arial"/>
                <w:i/>
                <w:sz w:val="21"/>
                <w:szCs w:val="21"/>
              </w:rPr>
              <w:t>Financial Model</w:t>
            </w:r>
            <w:r>
              <w:rPr>
                <w:rFonts w:ascii="Arial" w:hAnsi="Arial" w:cs="Arial"/>
                <w:sz w:val="21"/>
                <w:szCs w:val="21"/>
              </w:rPr>
              <w:t>.</w:t>
            </w:r>
          </w:p>
        </w:tc>
      </w:tr>
      <w:tr>
        <w:tblPrEx>
          <w:tblCellMar>
            <w:top w:w="0" w:type="dxa"/>
            <w:left w:w="108" w:type="dxa"/>
            <w:bottom w:w="0" w:type="dxa"/>
            <w:right w:w="108" w:type="dxa"/>
          </w:tblCellMar>
        </w:tblPrEx>
        <w:tc>
          <w:tcPr>
            <w:tcW w:w="3555" w:type="dxa"/>
          </w:tcPr>
          <w:p>
            <w:pPr>
              <w:pStyle w:val="105"/>
              <w:keepNext w:val="0"/>
              <w:tabs>
                <w:tab w:val="clear" w:pos="720"/>
              </w:tabs>
              <w:spacing w:after="120"/>
              <w:rPr>
                <w:rFonts w:ascii="Arial" w:hAnsi="Arial" w:cs="Arial"/>
                <w:b w:val="0"/>
                <w:sz w:val="21"/>
                <w:szCs w:val="21"/>
              </w:rPr>
            </w:pPr>
            <w:bookmarkStart w:id="160" w:name="_Toc74860701"/>
            <w:bookmarkStart w:id="161" w:name="_Toc74557555"/>
            <w:r>
              <w:rPr>
                <w:rFonts w:ascii="Arial" w:hAnsi="Arial" w:cs="Arial"/>
                <w:sz w:val="21"/>
                <w:szCs w:val="21"/>
              </w:rPr>
              <w:t>Kasus Dasar</w:t>
            </w:r>
            <w:r>
              <w:rPr>
                <w:rStyle w:val="25"/>
                <w:rFonts w:ascii="Arial" w:hAnsi="Arial" w:cs="Arial"/>
                <w:sz w:val="21"/>
                <w:szCs w:val="21"/>
              </w:rPr>
              <w:footnoteReference w:id="112"/>
            </w:r>
            <w:r>
              <w:rPr>
                <w:rFonts w:ascii="Arial" w:hAnsi="Arial" w:cs="Arial"/>
                <w:sz w:val="21"/>
                <w:szCs w:val="21"/>
              </w:rPr>
              <w:t>:</w:t>
            </w:r>
            <w:bookmarkEnd w:id="160"/>
            <w:bookmarkEnd w:id="161"/>
          </w:p>
        </w:tc>
        <w:tc>
          <w:tcPr>
            <w:tcW w:w="5112" w:type="dxa"/>
          </w:tcPr>
          <w:p>
            <w:pPr>
              <w:pStyle w:val="57"/>
              <w:widowControl w:val="0"/>
              <w:numPr>
                <w:ilvl w:val="1"/>
                <w:numId w:val="37"/>
              </w:numPr>
              <w:tabs>
                <w:tab w:val="clear" w:pos="720"/>
              </w:tabs>
              <w:spacing w:after="120"/>
              <w:rPr>
                <w:rFonts w:ascii="Arial" w:hAnsi="Arial" w:cs="Arial"/>
                <w:sz w:val="21"/>
                <w:szCs w:val="21"/>
              </w:rPr>
            </w:pPr>
            <w:r>
              <w:rPr>
                <w:rFonts w:ascii="Arial" w:hAnsi="Arial" w:cs="Arial"/>
                <w:sz w:val="21"/>
                <w:szCs w:val="21"/>
              </w:rPr>
              <w:t xml:space="preserve">Proyeksi-proyeksi keuangan yang dihasilkan oleh </w:t>
            </w:r>
            <w:r>
              <w:rPr>
                <w:rFonts w:ascii="Arial" w:hAnsi="Arial" w:cs="Arial"/>
                <w:i/>
                <w:iCs/>
                <w:sz w:val="21"/>
                <w:szCs w:val="21"/>
              </w:rPr>
              <w:t>Financial Model</w:t>
            </w:r>
            <w:r>
              <w:rPr>
                <w:rFonts w:ascii="Arial" w:hAnsi="Arial" w:cs="Arial"/>
                <w:sz w:val="21"/>
                <w:szCs w:val="21"/>
              </w:rPr>
              <w:t xml:space="preserve"> pada Tanggal Penandatanganan, sebagaimana telah diubah dengan mempertimbangkan setiap perubahan yang dibuat oleh Perusahaan Proyek dan disetujui oleh Agen </w:t>
            </w:r>
            <w:r>
              <w:rPr>
                <w:rFonts w:ascii="Arial" w:hAnsi="Arial" w:cs="Arial"/>
                <w:sz w:val="21"/>
                <w:szCs w:val="21"/>
                <w:lang w:val="en-US"/>
              </w:rPr>
              <w:t>Antarkreditur</w:t>
            </w:r>
            <w:r>
              <w:rPr>
                <w:rFonts w:ascii="Arial" w:hAnsi="Arial" w:cs="Arial"/>
                <w:sz w:val="21"/>
                <w:szCs w:val="21"/>
              </w:rPr>
              <w:t xml:space="preserve"> untuk memasukkan asumsi-asumsi yang diperbarui dengan cara sebagaimana diatur dalam ayat (b) di bawah ini sebelum setiap Tanggal Perhitungan.</w:t>
            </w:r>
          </w:p>
        </w:tc>
      </w:tr>
      <w:tr>
        <w:tblPrEx>
          <w:tblCellMar>
            <w:top w:w="0" w:type="dxa"/>
            <w:left w:w="108" w:type="dxa"/>
            <w:bottom w:w="0" w:type="dxa"/>
            <w:right w:w="108" w:type="dxa"/>
          </w:tblCellMar>
        </w:tblPrEx>
        <w:tc>
          <w:tcPr>
            <w:tcW w:w="3555" w:type="dxa"/>
          </w:tcPr>
          <w:p>
            <w:pPr>
              <w:pStyle w:val="57"/>
              <w:widowControl w:val="0"/>
              <w:numPr>
                <w:ilvl w:val="0"/>
                <w:numId w:val="0"/>
              </w:numPr>
              <w:tabs>
                <w:tab w:val="clear" w:pos="720"/>
              </w:tabs>
              <w:spacing w:after="120"/>
              <w:rPr>
                <w:rFonts w:ascii="Arial" w:hAnsi="Arial" w:cs="Arial"/>
                <w:sz w:val="21"/>
                <w:szCs w:val="21"/>
              </w:rPr>
            </w:pPr>
          </w:p>
        </w:tc>
        <w:tc>
          <w:tcPr>
            <w:tcW w:w="5112" w:type="dxa"/>
          </w:tcPr>
          <w:p>
            <w:pPr>
              <w:pStyle w:val="57"/>
              <w:tabs>
                <w:tab w:val="clear" w:pos="720"/>
              </w:tabs>
              <w:spacing w:after="120"/>
              <w:rPr>
                <w:rFonts w:ascii="Arial" w:hAnsi="Arial" w:cs="Arial"/>
                <w:sz w:val="21"/>
                <w:szCs w:val="21"/>
              </w:rPr>
            </w:pPr>
            <w:bookmarkStart w:id="162" w:name="_Ref52136240"/>
            <w:r>
              <w:rPr>
                <w:rFonts w:ascii="Arial" w:hAnsi="Arial" w:cs="Arial"/>
                <w:sz w:val="21"/>
                <w:szCs w:val="21"/>
              </w:rPr>
              <w:t>Pembaruan-pembaruan terhadap asumsi-asumsi dapat dilakukan sebagai berikut:</w:t>
            </w:r>
            <w:bookmarkEnd w:id="162"/>
          </w:p>
        </w:tc>
      </w:tr>
      <w:tr>
        <w:tblPrEx>
          <w:tblCellMar>
            <w:top w:w="0" w:type="dxa"/>
            <w:left w:w="108" w:type="dxa"/>
            <w:bottom w:w="0" w:type="dxa"/>
            <w:right w:w="108" w:type="dxa"/>
          </w:tblCellMar>
        </w:tblPrEx>
        <w:tc>
          <w:tcPr>
            <w:tcW w:w="3555" w:type="dxa"/>
          </w:tcPr>
          <w:p>
            <w:pPr>
              <w:pStyle w:val="57"/>
              <w:widowControl w:val="0"/>
              <w:numPr>
                <w:ilvl w:val="0"/>
                <w:numId w:val="0"/>
              </w:numPr>
              <w:tabs>
                <w:tab w:val="clear" w:pos="720"/>
              </w:tabs>
              <w:spacing w:after="120"/>
              <w:rPr>
                <w:rFonts w:ascii="Arial" w:hAnsi="Arial" w:cs="Arial"/>
                <w:sz w:val="21"/>
                <w:szCs w:val="21"/>
              </w:rPr>
            </w:pPr>
          </w:p>
        </w:tc>
        <w:tc>
          <w:tcPr>
            <w:tcW w:w="5112" w:type="dxa"/>
          </w:tcPr>
          <w:p>
            <w:pPr>
              <w:pStyle w:val="57"/>
              <w:widowControl w:val="0"/>
              <w:numPr>
                <w:ilvl w:val="0"/>
                <w:numId w:val="0"/>
              </w:numPr>
              <w:tabs>
                <w:tab w:val="clear" w:pos="720"/>
              </w:tabs>
              <w:spacing w:after="120"/>
              <w:ind w:left="720"/>
              <w:rPr>
                <w:rFonts w:ascii="Arial" w:hAnsi="Arial" w:cs="Arial"/>
                <w:sz w:val="21"/>
                <w:szCs w:val="21"/>
              </w:rPr>
            </w:pPr>
            <w:r>
              <w:rPr>
                <w:rFonts w:ascii="Arial" w:hAnsi="Arial" w:cs="Arial"/>
                <w:sz w:val="21"/>
                <w:szCs w:val="21"/>
              </w:rPr>
              <w:t>[</w:t>
            </w:r>
            <w:r>
              <w:rPr>
                <w:rFonts w:ascii="Arial" w:hAnsi="Arial" w:cs="Arial"/>
                <w:i/>
                <w:iCs/>
                <w:sz w:val="21"/>
                <w:szCs w:val="21"/>
              </w:rPr>
              <w:t>protokol untuk memperbarui asumsi-asumsi yang akan disepakati</w:t>
            </w:r>
            <w:r>
              <w:rPr>
                <w:rFonts w:ascii="Arial" w:hAnsi="Arial" w:cs="Arial"/>
                <w:sz w:val="21"/>
                <w:szCs w:val="21"/>
              </w:rPr>
              <w:t>]</w:t>
            </w:r>
            <w:r>
              <w:rPr>
                <w:rStyle w:val="25"/>
                <w:rFonts w:ascii="Arial" w:hAnsi="Arial" w:cs="Arial"/>
                <w:sz w:val="21"/>
                <w:szCs w:val="21"/>
              </w:rPr>
              <w:footnoteReference w:id="113"/>
            </w:r>
            <w:r>
              <w:rPr>
                <w:rFonts w:ascii="Arial" w:hAnsi="Arial" w:cs="Arial"/>
                <w:sz w:val="21"/>
                <w:szCs w:val="21"/>
              </w:rPr>
              <w:t>.</w:t>
            </w:r>
          </w:p>
        </w:tc>
      </w:tr>
      <w:tr>
        <w:tblPrEx>
          <w:tblCellMar>
            <w:top w:w="0" w:type="dxa"/>
            <w:left w:w="108" w:type="dxa"/>
            <w:bottom w:w="0" w:type="dxa"/>
            <w:right w:w="108" w:type="dxa"/>
          </w:tblCellMar>
        </w:tblPrEx>
        <w:tc>
          <w:tcPr>
            <w:tcW w:w="3555" w:type="dxa"/>
          </w:tcPr>
          <w:p>
            <w:pPr>
              <w:pStyle w:val="105"/>
              <w:keepNext w:val="0"/>
              <w:tabs>
                <w:tab w:val="clear" w:pos="720"/>
              </w:tabs>
              <w:spacing w:after="120"/>
              <w:rPr>
                <w:rFonts w:ascii="Arial" w:hAnsi="Arial" w:cs="Arial"/>
                <w:sz w:val="21"/>
                <w:szCs w:val="21"/>
              </w:rPr>
            </w:pPr>
            <w:bookmarkStart w:id="163" w:name="_Toc74860702"/>
            <w:bookmarkStart w:id="164" w:name="_Toc74557556"/>
            <w:r>
              <w:rPr>
                <w:rFonts w:ascii="Arial" w:hAnsi="Arial" w:cs="Arial"/>
                <w:sz w:val="21"/>
                <w:szCs w:val="21"/>
              </w:rPr>
              <w:t>Laporan Keuangan</w:t>
            </w:r>
            <w:r>
              <w:rPr>
                <w:rStyle w:val="25"/>
                <w:rFonts w:ascii="Arial" w:hAnsi="Arial" w:cs="Arial"/>
                <w:b w:val="0"/>
                <w:sz w:val="21"/>
                <w:szCs w:val="21"/>
              </w:rPr>
              <w:footnoteReference w:id="114"/>
            </w:r>
            <w:r>
              <w:rPr>
                <w:rFonts w:ascii="Arial" w:hAnsi="Arial" w:cs="Arial"/>
                <w:sz w:val="21"/>
                <w:szCs w:val="21"/>
              </w:rPr>
              <w:t>:</w:t>
            </w:r>
            <w:bookmarkEnd w:id="163"/>
            <w:bookmarkEnd w:id="164"/>
          </w:p>
        </w:tc>
        <w:tc>
          <w:tcPr>
            <w:tcW w:w="5112" w:type="dxa"/>
          </w:tcPr>
          <w:p>
            <w:pPr>
              <w:pStyle w:val="57"/>
              <w:widowControl w:val="0"/>
              <w:numPr>
                <w:ilvl w:val="1"/>
                <w:numId w:val="38"/>
              </w:numPr>
              <w:tabs>
                <w:tab w:val="clear" w:pos="720"/>
              </w:tabs>
              <w:spacing w:after="120"/>
              <w:rPr>
                <w:rFonts w:ascii="Arial" w:hAnsi="Arial" w:cs="Arial"/>
                <w:sz w:val="21"/>
                <w:szCs w:val="21"/>
              </w:rPr>
            </w:pPr>
            <w:r>
              <w:rPr>
                <w:rFonts w:ascii="Arial" w:hAnsi="Arial" w:cs="Arial"/>
                <w:sz w:val="21"/>
                <w:szCs w:val="21"/>
              </w:rPr>
              <w:t xml:space="preserve">Perusahaan Proyek harus menyerahkan kepada Agen </w:t>
            </w:r>
            <w:r>
              <w:rPr>
                <w:rFonts w:ascii="Arial" w:hAnsi="Arial" w:cs="Arial"/>
                <w:sz w:val="21"/>
                <w:szCs w:val="21"/>
                <w:lang w:val="en-US"/>
              </w:rPr>
              <w:t>Antarkreditur</w:t>
            </w:r>
            <w:r>
              <w:rPr>
                <w:rFonts w:ascii="Arial" w:hAnsi="Arial" w:cs="Arial"/>
                <w:sz w:val="21"/>
                <w:szCs w:val="21"/>
              </w:rPr>
              <w:t xml:space="preserve"> konsep Laporan Keuangan (dalam bentuk yang disepakati sebelum Tanggal Penandatanganan) [sebelum][sesudah] setiap Tanggal Perhitungan. </w:t>
            </w:r>
          </w:p>
        </w:tc>
      </w:tr>
      <w:tr>
        <w:tblPrEx>
          <w:tblCellMar>
            <w:top w:w="0" w:type="dxa"/>
            <w:left w:w="108" w:type="dxa"/>
            <w:bottom w:w="0" w:type="dxa"/>
            <w:right w:w="108" w:type="dxa"/>
          </w:tblCellMar>
        </w:tblPrEx>
        <w:tc>
          <w:tcPr>
            <w:tcW w:w="3555" w:type="dxa"/>
          </w:tcPr>
          <w:p>
            <w:pPr>
              <w:pStyle w:val="57"/>
              <w:widowControl w:val="0"/>
              <w:numPr>
                <w:ilvl w:val="0"/>
                <w:numId w:val="0"/>
              </w:numPr>
              <w:tabs>
                <w:tab w:val="clear" w:pos="720"/>
              </w:tabs>
              <w:spacing w:after="120"/>
              <w:rPr>
                <w:rFonts w:ascii="Arial" w:hAnsi="Arial" w:cs="Arial"/>
                <w:sz w:val="21"/>
                <w:szCs w:val="21"/>
              </w:rPr>
            </w:pPr>
          </w:p>
        </w:tc>
        <w:tc>
          <w:tcPr>
            <w:tcW w:w="5112" w:type="dxa"/>
          </w:tcPr>
          <w:p>
            <w:pPr>
              <w:pStyle w:val="57"/>
              <w:widowControl w:val="0"/>
              <w:numPr>
                <w:ilvl w:val="1"/>
                <w:numId w:val="38"/>
              </w:numPr>
              <w:tabs>
                <w:tab w:val="clear" w:pos="720"/>
              </w:tabs>
              <w:spacing w:after="120"/>
              <w:rPr>
                <w:rFonts w:ascii="Arial" w:hAnsi="Arial" w:cs="Arial"/>
                <w:sz w:val="21"/>
                <w:szCs w:val="21"/>
              </w:rPr>
            </w:pPr>
            <w:r>
              <w:rPr>
                <w:rFonts w:ascii="Arial" w:hAnsi="Arial" w:cs="Arial"/>
                <w:sz w:val="21"/>
                <w:szCs w:val="21"/>
              </w:rPr>
              <w:t>Setiap konsep Laporan Keuangan wajib:</w:t>
            </w:r>
          </w:p>
        </w:tc>
      </w:tr>
      <w:tr>
        <w:tblPrEx>
          <w:tblCellMar>
            <w:top w:w="0" w:type="dxa"/>
            <w:left w:w="108" w:type="dxa"/>
            <w:bottom w:w="0" w:type="dxa"/>
            <w:right w:w="108" w:type="dxa"/>
          </w:tblCellMar>
        </w:tblPrEx>
        <w:tc>
          <w:tcPr>
            <w:tcW w:w="3555" w:type="dxa"/>
          </w:tcPr>
          <w:p>
            <w:pPr>
              <w:pStyle w:val="57"/>
              <w:widowControl w:val="0"/>
              <w:numPr>
                <w:ilvl w:val="0"/>
                <w:numId w:val="0"/>
              </w:numPr>
              <w:tabs>
                <w:tab w:val="clear" w:pos="720"/>
              </w:tabs>
              <w:spacing w:after="120"/>
              <w:rPr>
                <w:rFonts w:ascii="Arial" w:hAnsi="Arial" w:cs="Arial"/>
                <w:sz w:val="21"/>
                <w:szCs w:val="21"/>
              </w:rPr>
            </w:pPr>
          </w:p>
        </w:tc>
        <w:tc>
          <w:tcPr>
            <w:tcW w:w="5112" w:type="dxa"/>
          </w:tcPr>
          <w:p>
            <w:pPr>
              <w:pStyle w:val="56"/>
              <w:widowControl w:val="0"/>
              <w:numPr>
                <w:ilvl w:val="2"/>
                <w:numId w:val="38"/>
              </w:numPr>
              <w:tabs>
                <w:tab w:val="clear" w:pos="1440"/>
              </w:tabs>
              <w:spacing w:after="120"/>
              <w:rPr>
                <w:rFonts w:ascii="Arial" w:hAnsi="Arial" w:cs="Arial"/>
                <w:sz w:val="21"/>
                <w:szCs w:val="21"/>
              </w:rPr>
            </w:pPr>
            <w:r>
              <w:rPr>
                <w:rFonts w:ascii="Arial" w:hAnsi="Arial" w:cs="Arial"/>
                <w:sz w:val="21"/>
                <w:szCs w:val="21"/>
              </w:rPr>
              <w:t xml:space="preserve">memuat perhitungan setiap Rasio pada Tanggal Perhitungan terkait; </w:t>
            </w:r>
          </w:p>
        </w:tc>
      </w:tr>
      <w:tr>
        <w:tblPrEx>
          <w:tblCellMar>
            <w:top w:w="0" w:type="dxa"/>
            <w:left w:w="108" w:type="dxa"/>
            <w:bottom w:w="0" w:type="dxa"/>
            <w:right w:w="108" w:type="dxa"/>
          </w:tblCellMar>
        </w:tblPrEx>
        <w:tc>
          <w:tcPr>
            <w:tcW w:w="3555" w:type="dxa"/>
          </w:tcPr>
          <w:p>
            <w:pPr>
              <w:pStyle w:val="57"/>
              <w:widowControl w:val="0"/>
              <w:numPr>
                <w:ilvl w:val="0"/>
                <w:numId w:val="0"/>
              </w:numPr>
              <w:tabs>
                <w:tab w:val="clear" w:pos="720"/>
              </w:tabs>
              <w:spacing w:after="120"/>
              <w:rPr>
                <w:rFonts w:ascii="Arial" w:hAnsi="Arial" w:cs="Arial"/>
                <w:sz w:val="21"/>
                <w:szCs w:val="21"/>
              </w:rPr>
            </w:pPr>
          </w:p>
        </w:tc>
        <w:tc>
          <w:tcPr>
            <w:tcW w:w="5112" w:type="dxa"/>
          </w:tcPr>
          <w:p>
            <w:pPr>
              <w:pStyle w:val="56"/>
              <w:widowControl w:val="0"/>
              <w:numPr>
                <w:ilvl w:val="2"/>
                <w:numId w:val="38"/>
              </w:numPr>
              <w:tabs>
                <w:tab w:val="clear" w:pos="1440"/>
              </w:tabs>
              <w:spacing w:after="120"/>
              <w:rPr>
                <w:rFonts w:ascii="Arial" w:hAnsi="Arial" w:cs="Arial"/>
                <w:sz w:val="21"/>
                <w:szCs w:val="21"/>
              </w:rPr>
            </w:pPr>
            <w:r>
              <w:rPr>
                <w:rFonts w:ascii="Arial" w:hAnsi="Arial" w:cs="Arial"/>
                <w:sz w:val="21"/>
                <w:szCs w:val="21"/>
              </w:rPr>
              <w:t xml:space="preserve">melampirkan Kasus Dasar yang diperbarui dan daftar semua asumsi yang mendasarinya; </w:t>
            </w:r>
          </w:p>
        </w:tc>
      </w:tr>
      <w:tr>
        <w:tblPrEx>
          <w:tblCellMar>
            <w:top w:w="0" w:type="dxa"/>
            <w:left w:w="108" w:type="dxa"/>
            <w:bottom w:w="0" w:type="dxa"/>
            <w:right w:w="108" w:type="dxa"/>
          </w:tblCellMar>
        </w:tblPrEx>
        <w:tc>
          <w:tcPr>
            <w:tcW w:w="3555" w:type="dxa"/>
          </w:tcPr>
          <w:p>
            <w:pPr>
              <w:pStyle w:val="57"/>
              <w:widowControl w:val="0"/>
              <w:numPr>
                <w:ilvl w:val="0"/>
                <w:numId w:val="0"/>
              </w:numPr>
              <w:tabs>
                <w:tab w:val="clear" w:pos="720"/>
              </w:tabs>
              <w:spacing w:after="120"/>
              <w:rPr>
                <w:rFonts w:ascii="Arial" w:hAnsi="Arial" w:cs="Arial"/>
                <w:sz w:val="21"/>
                <w:szCs w:val="21"/>
              </w:rPr>
            </w:pPr>
          </w:p>
        </w:tc>
        <w:tc>
          <w:tcPr>
            <w:tcW w:w="5112" w:type="dxa"/>
          </w:tcPr>
          <w:p>
            <w:pPr>
              <w:pStyle w:val="56"/>
              <w:widowControl w:val="0"/>
              <w:numPr>
                <w:ilvl w:val="2"/>
                <w:numId w:val="38"/>
              </w:numPr>
              <w:tabs>
                <w:tab w:val="clear" w:pos="1440"/>
              </w:tabs>
              <w:spacing w:after="120"/>
              <w:rPr>
                <w:rFonts w:ascii="Arial" w:hAnsi="Arial" w:cs="Arial"/>
                <w:sz w:val="21"/>
                <w:szCs w:val="21"/>
              </w:rPr>
            </w:pPr>
            <w:r>
              <w:rPr>
                <w:rFonts w:ascii="Arial" w:hAnsi="Arial" w:cs="Arial"/>
                <w:sz w:val="21"/>
                <w:szCs w:val="21"/>
              </w:rPr>
              <w:t xml:space="preserve">menentukan jumlah yang diperbolehkan berdasarkan </w:t>
            </w:r>
            <w:r>
              <w:rPr>
                <w:rFonts w:ascii="Arial" w:hAnsi="Arial" w:cs="Arial"/>
                <w:i/>
                <w:sz w:val="21"/>
                <w:szCs w:val="21"/>
              </w:rPr>
              <w:t>Cash Waterfall</w:t>
            </w:r>
            <w:r>
              <w:rPr>
                <w:rFonts w:ascii="Arial" w:hAnsi="Arial" w:cs="Arial"/>
                <w:sz w:val="21"/>
                <w:szCs w:val="21"/>
              </w:rPr>
              <w:t xml:space="preserve"> yang akan dialihkan dari Rekening Operasional ke Rekening Distribusi dan memastikan bahwa Pengujian-pengujian Distribusi telah dipenuhi sehubungan dengan pengalihan-pengalihan tersebut; dan </w:t>
            </w:r>
          </w:p>
        </w:tc>
      </w:tr>
      <w:tr>
        <w:tblPrEx>
          <w:tblCellMar>
            <w:top w:w="0" w:type="dxa"/>
            <w:left w:w="108" w:type="dxa"/>
            <w:bottom w:w="0" w:type="dxa"/>
            <w:right w:w="108" w:type="dxa"/>
          </w:tblCellMar>
        </w:tblPrEx>
        <w:tc>
          <w:tcPr>
            <w:tcW w:w="3555" w:type="dxa"/>
          </w:tcPr>
          <w:p>
            <w:pPr>
              <w:pStyle w:val="57"/>
              <w:widowControl w:val="0"/>
              <w:numPr>
                <w:ilvl w:val="0"/>
                <w:numId w:val="0"/>
              </w:numPr>
              <w:tabs>
                <w:tab w:val="clear" w:pos="720"/>
              </w:tabs>
              <w:spacing w:after="120"/>
              <w:rPr>
                <w:rFonts w:ascii="Arial" w:hAnsi="Arial" w:cs="Arial"/>
                <w:sz w:val="21"/>
                <w:szCs w:val="21"/>
              </w:rPr>
            </w:pPr>
          </w:p>
        </w:tc>
        <w:tc>
          <w:tcPr>
            <w:tcW w:w="5112" w:type="dxa"/>
          </w:tcPr>
          <w:p>
            <w:pPr>
              <w:pStyle w:val="56"/>
              <w:widowControl w:val="0"/>
              <w:numPr>
                <w:ilvl w:val="2"/>
                <w:numId w:val="38"/>
              </w:numPr>
              <w:tabs>
                <w:tab w:val="clear" w:pos="1440"/>
              </w:tabs>
              <w:spacing w:after="120"/>
              <w:rPr>
                <w:rFonts w:ascii="Arial" w:hAnsi="Arial" w:cs="Arial"/>
                <w:sz w:val="21"/>
                <w:szCs w:val="21"/>
              </w:rPr>
            </w:pPr>
            <w:r>
              <w:rPr>
                <w:rFonts w:ascii="Arial" w:hAnsi="Arial" w:cs="Arial"/>
                <w:sz w:val="21"/>
                <w:szCs w:val="21"/>
              </w:rPr>
              <w:t>mengatur secara rinci sifat dan jumlah komponen-komponen dari setiap Rasio.</w:t>
            </w:r>
          </w:p>
        </w:tc>
      </w:tr>
      <w:tr>
        <w:tblPrEx>
          <w:tblCellMar>
            <w:top w:w="0" w:type="dxa"/>
            <w:left w:w="108" w:type="dxa"/>
            <w:bottom w:w="0" w:type="dxa"/>
            <w:right w:w="108" w:type="dxa"/>
          </w:tblCellMar>
        </w:tblPrEx>
        <w:tc>
          <w:tcPr>
            <w:tcW w:w="3555" w:type="dxa"/>
          </w:tcPr>
          <w:p>
            <w:pPr>
              <w:pStyle w:val="105"/>
              <w:keepNext w:val="0"/>
              <w:tabs>
                <w:tab w:val="clear" w:pos="720"/>
              </w:tabs>
              <w:spacing w:after="120"/>
              <w:rPr>
                <w:rFonts w:ascii="Arial" w:hAnsi="Arial" w:cs="Arial"/>
                <w:b w:val="0"/>
                <w:sz w:val="21"/>
                <w:szCs w:val="21"/>
              </w:rPr>
            </w:pPr>
            <w:bookmarkStart w:id="165" w:name="_Toc74860703"/>
            <w:bookmarkStart w:id="166" w:name="_Toc74557557"/>
            <w:r>
              <w:rPr>
                <w:rFonts w:ascii="Arial" w:hAnsi="Arial" w:cs="Arial"/>
                <w:sz w:val="21"/>
                <w:szCs w:val="21"/>
              </w:rPr>
              <w:t>Tanggal Perhitungan:</w:t>
            </w:r>
            <w:bookmarkStart w:id="167" w:name="_9kR3WTr6734CMH9I"/>
            <w:bookmarkStart w:id="168" w:name="_9kP4WSt67348FE9I"/>
            <w:r>
              <w:rPr>
                <w:rStyle w:val="25"/>
                <w:rFonts w:ascii="Arial" w:hAnsi="Arial" w:cs="Arial"/>
                <w:b w:val="0"/>
                <w:sz w:val="21"/>
                <w:szCs w:val="21"/>
              </w:rPr>
              <w:footnoteReference w:id="115"/>
            </w:r>
            <w:bookmarkEnd w:id="165"/>
            <w:bookmarkEnd w:id="166"/>
            <w:bookmarkEnd w:id="167"/>
            <w:bookmarkEnd w:id="168"/>
          </w:p>
        </w:tc>
        <w:tc>
          <w:tcPr>
            <w:tcW w:w="5112" w:type="dxa"/>
          </w:tcPr>
          <w:p>
            <w:pPr>
              <w:pStyle w:val="3"/>
              <w:widowControl w:val="0"/>
              <w:spacing w:after="120"/>
              <w:ind w:left="0"/>
              <w:rPr>
                <w:rFonts w:ascii="Arial" w:hAnsi="Arial" w:cs="Arial"/>
                <w:sz w:val="21"/>
                <w:szCs w:val="21"/>
              </w:rPr>
            </w:pPr>
            <w:r>
              <w:rPr>
                <w:rFonts w:ascii="Arial" w:hAnsi="Arial" w:cs="Arial"/>
                <w:sz w:val="21"/>
                <w:szCs w:val="21"/>
              </w:rPr>
              <w:t>Tanggal Penyelesaian Proyek, setiap Tanggal Pembayaran Kembali dan [</w:t>
            </w:r>
            <w:r>
              <w:rPr>
                <w:rFonts w:ascii="Arial" w:hAnsi="Arial" w:cs="Arial"/>
                <w:i/>
                <w:iCs/>
                <w:sz w:val="21"/>
                <w:szCs w:val="21"/>
              </w:rPr>
              <w:t>masukkan tanggal-tanggal lain jika diperlukan</w:t>
            </w:r>
            <w:r>
              <w:rPr>
                <w:rFonts w:ascii="Arial" w:hAnsi="Arial" w:cs="Arial"/>
                <w:sz w:val="21"/>
                <w:szCs w:val="21"/>
              </w:rPr>
              <w:t>]</w:t>
            </w:r>
            <w:r>
              <w:rPr>
                <w:rStyle w:val="25"/>
                <w:rFonts w:ascii="Arial" w:hAnsi="Arial" w:cs="Arial"/>
                <w:sz w:val="21"/>
                <w:szCs w:val="21"/>
              </w:rPr>
              <w:footnoteReference w:id="116"/>
            </w:r>
            <w:r>
              <w:rPr>
                <w:rFonts w:ascii="Arial" w:hAnsi="Arial" w:cs="Arial"/>
                <w:sz w:val="21"/>
                <w:szCs w:val="21"/>
              </w:rPr>
              <w:t>.</w:t>
            </w:r>
          </w:p>
        </w:tc>
      </w:tr>
      <w:tr>
        <w:tblPrEx>
          <w:tblCellMar>
            <w:top w:w="0" w:type="dxa"/>
            <w:left w:w="108" w:type="dxa"/>
            <w:bottom w:w="0" w:type="dxa"/>
            <w:right w:w="108" w:type="dxa"/>
          </w:tblCellMar>
        </w:tblPrEx>
        <w:tc>
          <w:tcPr>
            <w:tcW w:w="3555" w:type="dxa"/>
          </w:tcPr>
          <w:p>
            <w:pPr>
              <w:pStyle w:val="105"/>
              <w:keepNext w:val="0"/>
              <w:tabs>
                <w:tab w:val="clear" w:pos="720"/>
              </w:tabs>
              <w:spacing w:after="120"/>
              <w:rPr>
                <w:rFonts w:ascii="Arial" w:hAnsi="Arial" w:cs="Arial"/>
                <w:b w:val="0"/>
                <w:sz w:val="21"/>
                <w:szCs w:val="21"/>
              </w:rPr>
            </w:pPr>
            <w:bookmarkStart w:id="169" w:name="_Toc74860704"/>
            <w:bookmarkStart w:id="170" w:name="_Toc74557558"/>
            <w:r>
              <w:rPr>
                <w:rFonts w:ascii="Arial" w:hAnsi="Arial" w:cs="Arial"/>
                <w:sz w:val="21"/>
                <w:szCs w:val="21"/>
              </w:rPr>
              <w:t>Ra</w:t>
            </w:r>
            <w:r>
              <w:rPr>
                <w:rFonts w:ascii="Arial" w:hAnsi="Arial" w:cs="Arial"/>
                <w:sz w:val="21"/>
                <w:szCs w:val="21"/>
                <w:lang w:val="en-US"/>
              </w:rPr>
              <w:t>sio-rasio</w:t>
            </w:r>
            <w:r>
              <w:rPr>
                <w:rFonts w:ascii="Arial" w:hAnsi="Arial" w:cs="Arial"/>
                <w:sz w:val="21"/>
                <w:szCs w:val="21"/>
              </w:rPr>
              <w:t>:</w:t>
            </w:r>
            <w:bookmarkStart w:id="171" w:name="_9kR3WTr6734DE8AA"/>
            <w:bookmarkStart w:id="172" w:name="_9kP4WSt67348GFAA"/>
            <w:r>
              <w:rPr>
                <w:rStyle w:val="25"/>
                <w:rFonts w:ascii="Arial" w:hAnsi="Arial" w:cs="Arial"/>
                <w:b w:val="0"/>
                <w:sz w:val="21"/>
                <w:szCs w:val="21"/>
              </w:rPr>
              <w:footnoteReference w:id="117"/>
            </w:r>
            <w:bookmarkEnd w:id="169"/>
            <w:bookmarkEnd w:id="170"/>
            <w:bookmarkEnd w:id="171"/>
            <w:bookmarkEnd w:id="172"/>
          </w:p>
        </w:tc>
        <w:tc>
          <w:tcPr>
            <w:tcW w:w="5112" w:type="dxa"/>
          </w:tcPr>
          <w:p>
            <w:pPr>
              <w:pStyle w:val="103"/>
              <w:tabs>
                <w:tab w:val="clear" w:pos="766"/>
              </w:tabs>
              <w:spacing w:after="120"/>
              <w:ind w:left="720" w:hanging="720"/>
              <w:rPr>
                <w:rFonts w:ascii="Arial" w:hAnsi="Arial" w:cs="Arial"/>
                <w:sz w:val="21"/>
                <w:szCs w:val="21"/>
              </w:rPr>
            </w:pPr>
            <w:bookmarkStart w:id="173" w:name="_9kMKJ5YVt3AB67DR8dtlRxF7pm"/>
            <w:r>
              <w:rPr>
                <w:rFonts w:ascii="Arial" w:hAnsi="Arial" w:cs="Arial"/>
                <w:i/>
                <w:sz w:val="21"/>
                <w:szCs w:val="21"/>
              </w:rPr>
              <w:t>Debt Service</w:t>
            </w:r>
            <w:bookmarkEnd w:id="173"/>
            <w:r>
              <w:rPr>
                <w:rFonts w:ascii="Arial" w:hAnsi="Arial" w:cs="Arial"/>
                <w:i/>
                <w:sz w:val="21"/>
                <w:szCs w:val="21"/>
              </w:rPr>
              <w:t xml:space="preserve"> Cover Ratio</w:t>
            </w:r>
            <w:r>
              <w:rPr>
                <w:rFonts w:ascii="Arial" w:hAnsi="Arial" w:cs="Arial"/>
                <w:sz w:val="21"/>
                <w:szCs w:val="21"/>
              </w:rPr>
              <w:t xml:space="preserve"> ("</w:t>
            </w:r>
            <w:bookmarkStart w:id="174" w:name="_9kR3WTr17845DRuuu"/>
            <w:r>
              <w:rPr>
                <w:rFonts w:ascii="Arial" w:hAnsi="Arial" w:cs="Arial"/>
                <w:b/>
                <w:sz w:val="21"/>
                <w:szCs w:val="21"/>
              </w:rPr>
              <w:t>DSCR</w:t>
            </w:r>
            <w:bookmarkEnd w:id="174"/>
            <w:r>
              <w:rPr>
                <w:rFonts w:ascii="Arial" w:hAnsi="Arial" w:cs="Arial"/>
                <w:sz w:val="21"/>
                <w:szCs w:val="21"/>
              </w:rPr>
              <w:t>")</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99"/>
              <w:tabs>
                <w:tab w:val="clear" w:pos="720"/>
              </w:tabs>
              <w:spacing w:after="120"/>
              <w:ind w:left="1440"/>
              <w:rPr>
                <w:rFonts w:ascii="Arial" w:hAnsi="Arial" w:cs="Arial"/>
                <w:sz w:val="21"/>
                <w:szCs w:val="21"/>
              </w:rPr>
            </w:pPr>
            <w:bookmarkStart w:id="175" w:name="_9kMKJ5YVt39A67FTwww"/>
            <w:r>
              <w:rPr>
                <w:rFonts w:ascii="Arial" w:hAnsi="Arial" w:cs="Arial"/>
                <w:i/>
                <w:sz w:val="21"/>
                <w:szCs w:val="21"/>
              </w:rPr>
              <w:t>DSCR</w:t>
            </w:r>
            <w:bookmarkEnd w:id="175"/>
            <w:bookmarkStart w:id="176" w:name="_Ref326934764"/>
            <w:r>
              <w:rPr>
                <w:rFonts w:ascii="Arial" w:hAnsi="Arial" w:cs="Arial"/>
                <w:i/>
                <w:sz w:val="21"/>
                <w:szCs w:val="21"/>
              </w:rPr>
              <w:t xml:space="preserve"> Terdahulu</w:t>
            </w:r>
            <w:r>
              <w:rPr>
                <w:rStyle w:val="25"/>
                <w:rFonts w:ascii="Arial" w:hAnsi="Arial" w:cs="Arial"/>
                <w:sz w:val="21"/>
                <w:szCs w:val="21"/>
              </w:rPr>
              <w:footnoteReference w:id="118"/>
            </w:r>
            <w:bookmarkEnd w:id="176"/>
          </w:p>
          <w:p>
            <w:pPr>
              <w:pStyle w:val="103"/>
              <w:numPr>
                <w:ilvl w:val="0"/>
                <w:numId w:val="0"/>
              </w:numPr>
              <w:tabs>
                <w:tab w:val="clear" w:pos="766"/>
              </w:tabs>
              <w:spacing w:after="120"/>
              <w:rPr>
                <w:rFonts w:ascii="Arial" w:hAnsi="Arial" w:cs="Arial"/>
                <w:iCs/>
                <w:sz w:val="21"/>
                <w:szCs w:val="21"/>
              </w:rPr>
            </w:pP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3"/>
              <w:spacing w:after="120"/>
              <w:ind w:left="1440"/>
              <w:rPr>
                <w:rFonts w:ascii="Arial" w:hAnsi="Arial" w:cs="Arial"/>
                <w:sz w:val="21"/>
                <w:szCs w:val="21"/>
              </w:rPr>
            </w:pPr>
            <w:r>
              <w:rPr>
                <w:rFonts w:ascii="Arial" w:hAnsi="Arial" w:cs="Arial"/>
                <w:sz w:val="21"/>
                <w:szCs w:val="21"/>
              </w:rPr>
              <w:t>Untuk periode [enam/12 bulan] sebelum Tanggal Perhitungan [(atau, dalam hal Tanggal Perhitungan pertama setelah Tanggal Operasional Proyek, periode dari Tanggal Operasional Proyek sampai Tanggal Perhitungan tersebut)] rasio dari:</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3"/>
              <w:numPr>
                <w:ilvl w:val="0"/>
                <w:numId w:val="39"/>
              </w:numPr>
              <w:spacing w:after="120"/>
              <w:ind w:hanging="720"/>
              <w:rPr>
                <w:rFonts w:ascii="Arial" w:hAnsi="Arial" w:cs="Arial"/>
                <w:sz w:val="21"/>
                <w:szCs w:val="21"/>
              </w:rPr>
            </w:pPr>
            <w:r>
              <w:rPr>
                <w:rFonts w:ascii="Arial" w:hAnsi="Arial" w:cs="Arial"/>
                <w:i/>
                <w:sz w:val="21"/>
                <w:szCs w:val="21"/>
              </w:rPr>
              <w:t>Available Cashflow</w:t>
            </w:r>
            <w:r>
              <w:rPr>
                <w:rFonts w:ascii="Arial" w:hAnsi="Arial" w:cs="Arial"/>
                <w:sz w:val="21"/>
                <w:szCs w:val="21"/>
              </w:rPr>
              <w:t xml:space="preserve"> selama periode tersebut; terhadap </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3"/>
              <w:numPr>
                <w:ilvl w:val="0"/>
                <w:numId w:val="39"/>
              </w:numPr>
              <w:spacing w:after="120"/>
              <w:ind w:hanging="720"/>
              <w:rPr>
                <w:rFonts w:ascii="Arial" w:hAnsi="Arial" w:cs="Arial"/>
                <w:sz w:val="21"/>
                <w:szCs w:val="21"/>
              </w:rPr>
            </w:pPr>
            <w:r>
              <w:rPr>
                <w:rFonts w:ascii="Arial" w:hAnsi="Arial" w:eastAsia="Times New Roman" w:cs="Arial"/>
                <w:sz w:val="21"/>
                <w:szCs w:val="21"/>
                <w:lang w:val="en-US"/>
              </w:rPr>
              <w:t>debt service</w:t>
            </w:r>
            <w:r>
              <w:rPr>
                <w:rFonts w:ascii="Arial" w:hAnsi="Arial" w:cs="Arial"/>
                <w:sz w:val="21"/>
                <w:szCs w:val="21"/>
              </w:rPr>
              <w:t xml:space="preserve"> [termasuk jumlah-jumlah yang harus dibayar sehubungan dengan Fasilitas Modal Kerja (sepanjang tidak dapat ditarik kembali)] yang harus dibayar selama periode tersebut.</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99"/>
              <w:tabs>
                <w:tab w:val="clear" w:pos="720"/>
              </w:tabs>
              <w:spacing w:after="120"/>
              <w:ind w:left="1440"/>
              <w:rPr>
                <w:rFonts w:ascii="Arial" w:hAnsi="Arial" w:cs="Arial"/>
                <w:i/>
                <w:sz w:val="21"/>
                <w:szCs w:val="21"/>
              </w:rPr>
            </w:pPr>
            <w:r>
              <w:rPr>
                <w:rFonts w:ascii="Arial" w:hAnsi="Arial" w:cs="Arial"/>
                <w:iCs/>
                <w:sz w:val="21"/>
                <w:szCs w:val="21"/>
              </w:rPr>
              <w:t>[</w:t>
            </w:r>
            <w:r>
              <w:rPr>
                <w:rFonts w:ascii="Arial" w:hAnsi="Arial" w:cs="Arial"/>
                <w:i/>
                <w:sz w:val="21"/>
                <w:szCs w:val="21"/>
              </w:rPr>
              <w:t xml:space="preserve">Proyeksi </w:t>
            </w:r>
            <w:bookmarkStart w:id="177" w:name="_9kMLK5YVt39A67FTwww"/>
            <w:r>
              <w:rPr>
                <w:rFonts w:ascii="Arial" w:hAnsi="Arial" w:cs="Arial"/>
                <w:i/>
                <w:sz w:val="21"/>
                <w:szCs w:val="21"/>
              </w:rPr>
              <w:t>DSCR</w:t>
            </w:r>
            <w:bookmarkEnd w:id="177"/>
          </w:p>
        </w:tc>
      </w:tr>
      <w:tr>
        <w:tblPrEx>
          <w:tblCellMar>
            <w:top w:w="0" w:type="dxa"/>
            <w:left w:w="108" w:type="dxa"/>
            <w:bottom w:w="0" w:type="dxa"/>
            <w:right w:w="108" w:type="dxa"/>
          </w:tblCellMar>
        </w:tblPrEx>
        <w:trPr>
          <w:trHeight w:val="585" w:hRule="atLeast"/>
        </w:trPr>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3"/>
              <w:spacing w:after="120"/>
              <w:ind w:left="1440"/>
              <w:rPr>
                <w:rFonts w:ascii="Arial" w:hAnsi="Arial" w:cs="Arial"/>
                <w:sz w:val="21"/>
                <w:szCs w:val="21"/>
              </w:rPr>
            </w:pPr>
            <w:r>
              <w:rPr>
                <w:rFonts w:ascii="Arial" w:hAnsi="Arial" w:cs="Arial"/>
                <w:sz w:val="21"/>
                <w:szCs w:val="21"/>
              </w:rPr>
              <w:t>Selama periode [enam/12 bulan] setelah Tanggal Perhitungan, rasio dari:</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3"/>
              <w:numPr>
                <w:ilvl w:val="0"/>
                <w:numId w:val="40"/>
              </w:numPr>
              <w:spacing w:after="120"/>
              <w:ind w:hanging="720"/>
              <w:rPr>
                <w:rFonts w:ascii="Arial" w:hAnsi="Arial" w:cs="Arial"/>
                <w:sz w:val="21"/>
                <w:szCs w:val="21"/>
              </w:rPr>
            </w:pPr>
            <w:r>
              <w:rPr>
                <w:rFonts w:ascii="Arial" w:hAnsi="Arial" w:cs="Arial"/>
                <w:sz w:val="21"/>
                <w:szCs w:val="21"/>
              </w:rPr>
              <w:t>proyeksi Arus Kas Yang Tersedia selama periode tersebut; terhada</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3"/>
              <w:numPr>
                <w:ilvl w:val="0"/>
                <w:numId w:val="40"/>
              </w:numPr>
              <w:spacing w:after="120"/>
              <w:ind w:hanging="720"/>
              <w:rPr>
                <w:rFonts w:ascii="Arial" w:hAnsi="Arial" w:cs="Arial"/>
                <w:sz w:val="21"/>
                <w:szCs w:val="21"/>
              </w:rPr>
            </w:pPr>
            <w:r>
              <w:rPr>
                <w:rFonts w:ascii="Arial" w:hAnsi="Arial" w:cs="Arial"/>
                <w:sz w:val="21"/>
                <w:szCs w:val="21"/>
              </w:rPr>
              <w:t xml:space="preserve">proyeksi </w:t>
            </w:r>
            <w:r>
              <w:rPr>
                <w:rFonts w:ascii="Arial" w:hAnsi="Arial" w:cs="Arial"/>
                <w:i/>
                <w:iCs/>
                <w:sz w:val="21"/>
                <w:szCs w:val="21"/>
              </w:rPr>
              <w:t>Debt Service</w:t>
            </w:r>
            <w:r>
              <w:rPr>
                <w:rFonts w:ascii="Arial" w:hAnsi="Arial" w:cs="Arial"/>
                <w:sz w:val="21"/>
                <w:szCs w:val="21"/>
              </w:rPr>
              <w:t xml:space="preserve"> [termasuk jumlah-jumlah yang harus dibayar sehubungan dengan Fasilitas Modal Kerja (sepanjang tidak dapat ditarik kembali)]</w:t>
            </w:r>
            <w:r>
              <w:rPr>
                <w:rStyle w:val="25"/>
                <w:rFonts w:cs="Arial"/>
                <w:sz w:val="21"/>
                <w:szCs w:val="21"/>
              </w:rPr>
              <w:footnoteReference w:id="119"/>
            </w:r>
            <w:r>
              <w:rPr>
                <w:rFonts w:ascii="Arial" w:hAnsi="Arial" w:cs="Arial"/>
                <w:sz w:val="21"/>
                <w:szCs w:val="21"/>
              </w:rPr>
              <w:t xml:space="preserve"> yang harus dibayar selama periode tersebut]</w:t>
            </w:r>
            <w:r>
              <w:rPr>
                <w:rStyle w:val="25"/>
                <w:rFonts w:ascii="Arial" w:hAnsi="Arial" w:cs="Arial"/>
                <w:sz w:val="21"/>
                <w:szCs w:val="21"/>
              </w:rPr>
              <w:footnoteReference w:id="120"/>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103"/>
              <w:tabs>
                <w:tab w:val="clear" w:pos="766"/>
              </w:tabs>
              <w:spacing w:after="120"/>
              <w:ind w:left="720" w:hanging="720"/>
              <w:rPr>
                <w:rFonts w:ascii="Arial" w:hAnsi="Arial" w:cs="Arial"/>
                <w:sz w:val="21"/>
                <w:szCs w:val="21"/>
              </w:rPr>
            </w:pPr>
            <w:r>
              <w:rPr>
                <w:rFonts w:ascii="Arial" w:hAnsi="Arial" w:cs="Arial"/>
                <w:sz w:val="21"/>
                <w:szCs w:val="21"/>
              </w:rPr>
              <w:t>[</w:t>
            </w:r>
            <w:r>
              <w:rPr>
                <w:rFonts w:ascii="Arial" w:hAnsi="Arial" w:cs="Arial"/>
                <w:i/>
                <w:sz w:val="21"/>
                <w:szCs w:val="21"/>
              </w:rPr>
              <w:t>Loan Life Cover Ratio</w:t>
            </w:r>
            <w:r>
              <w:rPr>
                <w:rFonts w:ascii="Arial" w:hAnsi="Arial" w:cs="Arial"/>
                <w:sz w:val="21"/>
                <w:szCs w:val="21"/>
              </w:rPr>
              <w:t xml:space="preserve"> ("</w:t>
            </w:r>
            <w:bookmarkStart w:id="178" w:name="_9kR3WTr1784EHUvnu"/>
            <w:bookmarkStart w:id="179" w:name="_9kR3WTr17845Fbvnu"/>
            <w:r>
              <w:rPr>
                <w:rFonts w:ascii="Arial" w:hAnsi="Arial" w:cs="Arial"/>
                <w:b/>
                <w:sz w:val="21"/>
                <w:szCs w:val="21"/>
              </w:rPr>
              <w:t>LLCR</w:t>
            </w:r>
            <w:bookmarkEnd w:id="178"/>
            <w:bookmarkEnd w:id="179"/>
            <w:r>
              <w:rPr>
                <w:rFonts w:ascii="Arial" w:hAnsi="Arial" w:cs="Arial"/>
                <w:sz w:val="21"/>
                <w:szCs w:val="21"/>
              </w:rPr>
              <w:t>")</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3"/>
              <w:spacing w:after="120"/>
              <w:ind w:left="720"/>
              <w:rPr>
                <w:rFonts w:ascii="Arial" w:hAnsi="Arial" w:cs="Arial"/>
                <w:sz w:val="21"/>
                <w:szCs w:val="21"/>
              </w:rPr>
            </w:pPr>
            <w:r>
              <w:rPr>
                <w:rFonts w:ascii="Arial" w:hAnsi="Arial" w:cs="Arial"/>
                <w:sz w:val="21"/>
                <w:szCs w:val="21"/>
              </w:rPr>
              <w:t>Pada Tanggal Perhitungan, rasio dari:</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99"/>
              <w:widowControl w:val="0"/>
              <w:tabs>
                <w:tab w:val="clear" w:pos="720"/>
              </w:tabs>
              <w:spacing w:after="120"/>
              <w:ind w:left="1440"/>
              <w:rPr>
                <w:rFonts w:ascii="Arial" w:hAnsi="Arial" w:cs="Arial"/>
                <w:sz w:val="21"/>
                <w:szCs w:val="21"/>
              </w:rPr>
            </w:pPr>
            <w:r>
              <w:rPr>
                <w:rFonts w:ascii="Arial" w:hAnsi="Arial" w:cs="Arial"/>
                <w:sz w:val="21"/>
                <w:szCs w:val="21"/>
              </w:rPr>
              <w:t>Arus Kas Diskonto</w:t>
            </w:r>
            <w:r>
              <w:rPr>
                <w:rStyle w:val="25"/>
                <w:rFonts w:ascii="Arial" w:hAnsi="Arial" w:cs="Arial"/>
                <w:sz w:val="21"/>
                <w:szCs w:val="21"/>
              </w:rPr>
              <w:footnoteReference w:id="121"/>
            </w:r>
            <w:r>
              <w:rPr>
                <w:rFonts w:ascii="Arial" w:hAnsi="Arial" w:cs="Arial"/>
                <w:sz w:val="21"/>
                <w:szCs w:val="21"/>
              </w:rPr>
              <w:t xml:space="preserve"> untuk </w:t>
            </w:r>
            <w:r>
              <w:rPr>
                <w:rFonts w:ascii="Arial" w:hAnsi="Arial" w:cs="Arial"/>
                <w:sz w:val="21"/>
                <w:szCs w:val="21"/>
                <w:lang w:val="en-US"/>
              </w:rPr>
              <w:t>debt service</w:t>
            </w:r>
            <w:r>
              <w:rPr>
                <w:rFonts w:ascii="Arial" w:hAnsi="Arial" w:cs="Arial"/>
                <w:sz w:val="21"/>
                <w:szCs w:val="21"/>
              </w:rPr>
              <w:t xml:space="preserve"> ditambah setiap saldo kas atau </w:t>
            </w:r>
            <w:r>
              <w:rPr>
                <w:rFonts w:ascii="Arial" w:hAnsi="Arial" w:cs="Arial"/>
                <w:i/>
                <w:sz w:val="21"/>
                <w:szCs w:val="21"/>
              </w:rPr>
              <w:t>letter of credit</w:t>
            </w:r>
            <w:r>
              <w:rPr>
                <w:rFonts w:ascii="Arial" w:hAnsi="Arial" w:cs="Arial"/>
                <w:sz w:val="21"/>
                <w:szCs w:val="21"/>
              </w:rPr>
              <w:t xml:space="preserve"> atau bank garansi yang dikreditkan ke [</w:t>
            </w:r>
            <w:r>
              <w:rPr>
                <w:rFonts w:ascii="Arial" w:hAnsi="Arial" w:cs="Arial"/>
                <w:i/>
                <w:sz w:val="21"/>
                <w:szCs w:val="21"/>
              </w:rPr>
              <w:t>Debt Service Reserve Account</w:t>
            </w:r>
            <w:r>
              <w:rPr>
                <w:rFonts w:ascii="Arial" w:hAnsi="Arial" w:cs="Arial"/>
                <w:sz w:val="21"/>
                <w:szCs w:val="21"/>
              </w:rPr>
              <w:t xml:space="preserve">] [dan] [Rekening Operasional] (tanpa penghitungan ganda) pada Tanggal Perhitungan tersebut; terhadap </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99"/>
              <w:widowControl w:val="0"/>
              <w:tabs>
                <w:tab w:val="clear" w:pos="720"/>
              </w:tabs>
              <w:spacing w:after="120"/>
              <w:ind w:left="1440"/>
              <w:rPr>
                <w:rFonts w:ascii="Arial" w:hAnsi="Arial" w:cs="Arial"/>
                <w:sz w:val="21"/>
                <w:szCs w:val="21"/>
              </w:rPr>
            </w:pPr>
            <w:r>
              <w:rPr>
                <w:rFonts w:ascii="Arial" w:hAnsi="Arial" w:cs="Arial"/>
                <w:sz w:val="21"/>
                <w:szCs w:val="21"/>
              </w:rPr>
              <w:t xml:space="preserve">keseluruhan </w:t>
            </w:r>
            <w:r>
              <w:rPr>
                <w:rFonts w:ascii="Arial" w:hAnsi="Arial" w:cs="Arial"/>
                <w:sz w:val="21"/>
                <w:szCs w:val="21"/>
                <w:lang w:val="en-US"/>
              </w:rPr>
              <w:t xml:space="preserve">dari </w:t>
            </w:r>
            <w:r>
              <w:rPr>
                <w:rFonts w:ascii="Arial" w:hAnsi="Arial" w:cs="Arial"/>
                <w:sz w:val="21"/>
                <w:szCs w:val="21"/>
              </w:rPr>
              <w:t xml:space="preserve">jumlah-jumlah terutang berdasarkan [Fasilitas[-fasilitas]] pada Tanggal Perhitungan tersebut, </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3"/>
              <w:spacing w:after="120"/>
              <w:ind w:left="720"/>
              <w:rPr>
                <w:rFonts w:ascii="Arial" w:hAnsi="Arial" w:cs="Arial"/>
                <w:sz w:val="21"/>
                <w:szCs w:val="21"/>
              </w:rPr>
            </w:pPr>
            <w:r>
              <w:rPr>
                <w:rFonts w:ascii="Arial" w:hAnsi="Arial" w:cs="Arial"/>
                <w:sz w:val="21"/>
                <w:szCs w:val="21"/>
              </w:rPr>
              <w:t>dalam setiap hal, setelah memperhitungkan semua pembayaran kembali yang akan dilakukan pada Tanggal Perhitungan tersebut.]</w:t>
            </w:r>
            <w:r>
              <w:rPr>
                <w:rStyle w:val="25"/>
                <w:rFonts w:ascii="Arial" w:hAnsi="Arial" w:cs="Arial"/>
                <w:sz w:val="21"/>
                <w:szCs w:val="21"/>
              </w:rPr>
              <w:footnoteReference w:id="122"/>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iCs/>
                <w:sz w:val="21"/>
                <w:szCs w:val="21"/>
              </w:rPr>
            </w:pPr>
          </w:p>
        </w:tc>
        <w:tc>
          <w:tcPr>
            <w:tcW w:w="5112" w:type="dxa"/>
          </w:tcPr>
          <w:p>
            <w:pPr>
              <w:pStyle w:val="103"/>
              <w:numPr>
                <w:ilvl w:val="0"/>
                <w:numId w:val="0"/>
              </w:numPr>
              <w:tabs>
                <w:tab w:val="clear" w:pos="766"/>
              </w:tabs>
              <w:spacing w:after="120"/>
              <w:rPr>
                <w:rFonts w:ascii="Arial" w:hAnsi="Arial" w:cs="Arial"/>
                <w:iCs/>
                <w:sz w:val="21"/>
                <w:szCs w:val="21"/>
              </w:rPr>
            </w:pPr>
            <w:r>
              <w:rPr>
                <w:rFonts w:ascii="Arial" w:hAnsi="Arial" w:cs="Arial"/>
                <w:sz w:val="21"/>
                <w:szCs w:val="21"/>
              </w:rPr>
              <w:t xml:space="preserve">Masing-masing Rasio akan diuji dengan mengacu pada Kasus Dasar yang diperbarui yang disepakati antara Kreditur dan Agen </w:t>
            </w:r>
            <w:r>
              <w:rPr>
                <w:rFonts w:ascii="Arial" w:hAnsi="Arial" w:cs="Arial"/>
                <w:sz w:val="21"/>
                <w:szCs w:val="21"/>
                <w:lang w:val="en-US"/>
              </w:rPr>
              <w:t>Antarkreditur.</w:t>
            </w:r>
          </w:p>
        </w:tc>
      </w:tr>
      <w:tr>
        <w:tblPrEx>
          <w:tblCellMar>
            <w:top w:w="0" w:type="dxa"/>
            <w:left w:w="108" w:type="dxa"/>
            <w:bottom w:w="0" w:type="dxa"/>
            <w:right w:w="108" w:type="dxa"/>
          </w:tblCellMar>
        </w:tblPrEx>
        <w:tc>
          <w:tcPr>
            <w:tcW w:w="3555" w:type="dxa"/>
          </w:tcPr>
          <w:p>
            <w:pPr>
              <w:pStyle w:val="105"/>
              <w:keepNext w:val="0"/>
              <w:tabs>
                <w:tab w:val="clear" w:pos="720"/>
              </w:tabs>
              <w:spacing w:after="120"/>
              <w:rPr>
                <w:rFonts w:ascii="Arial" w:hAnsi="Arial" w:cs="Arial"/>
                <w:b w:val="0"/>
                <w:sz w:val="21"/>
                <w:szCs w:val="21"/>
              </w:rPr>
            </w:pPr>
            <w:bookmarkStart w:id="180" w:name="_9kR3WTr5B84EK"/>
            <w:bookmarkStart w:id="181" w:name="_Toc74557559"/>
            <w:bookmarkStart w:id="182" w:name="_Toc74860705"/>
            <w:r>
              <w:rPr>
                <w:rFonts w:ascii="Arial" w:hAnsi="Arial" w:cs="Arial"/>
                <w:sz w:val="21"/>
                <w:szCs w:val="21"/>
              </w:rPr>
              <w:t>[</w:t>
            </w:r>
            <w:bookmarkEnd w:id="180"/>
            <w:r>
              <w:rPr>
                <w:rFonts w:ascii="Arial" w:hAnsi="Arial" w:cs="Arial"/>
                <w:sz w:val="21"/>
                <w:szCs w:val="21"/>
              </w:rPr>
              <w:t>Perbaikan Ekuitas:</w:t>
            </w:r>
            <w:bookmarkEnd w:id="181"/>
            <w:bookmarkEnd w:id="182"/>
          </w:p>
        </w:tc>
        <w:tc>
          <w:tcPr>
            <w:tcW w:w="5112" w:type="dxa"/>
          </w:tcPr>
          <w:p>
            <w:pPr>
              <w:pStyle w:val="103"/>
              <w:tabs>
                <w:tab w:val="clear" w:pos="766"/>
              </w:tabs>
              <w:spacing w:after="120"/>
              <w:ind w:left="720" w:hanging="720"/>
              <w:rPr>
                <w:rFonts w:ascii="Arial" w:hAnsi="Arial" w:cs="Arial"/>
                <w:sz w:val="21"/>
                <w:szCs w:val="21"/>
                <w:lang w:eastAsia="en-GB"/>
              </w:rPr>
            </w:pPr>
            <w:r>
              <w:rPr>
                <w:rFonts w:ascii="Arial" w:hAnsi="Arial" w:cs="Arial"/>
                <w:sz w:val="21"/>
                <w:szCs w:val="21"/>
                <w:lang w:eastAsia="en-GB"/>
              </w:rPr>
              <w:t xml:space="preserve">Jika Peristiwa Cedera Janji telah terjadi atau akan terjadi sebagai akibat dari DSCR Terdahulu pada Tanggal Perhitungan kurang dari [ ]:1, maka Para Sponsor/Para Pemegang Saham dapat (tetapi tidak berkewajiban) untuk mencegah atau memperbaiki Peristiwa Cedera Janji tersebut dengan memastikan diberikannya kontribusi berupa Ekuitas tambahan kepada Debitur sehingga, pada saat perhitungan kembali sesuai dengan butir (b) di bawah, DSCR </w:t>
            </w:r>
            <w:r>
              <w:rPr>
                <w:rFonts w:ascii="Arial" w:hAnsi="Arial" w:cs="Arial"/>
                <w:sz w:val="21"/>
                <w:szCs w:val="21"/>
                <w:lang w:val="en-US" w:eastAsia="en-GB"/>
              </w:rPr>
              <w:t>T</w:t>
            </w:r>
            <w:r>
              <w:rPr>
                <w:rFonts w:ascii="Arial" w:hAnsi="Arial" w:cs="Arial"/>
                <w:sz w:val="21"/>
                <w:szCs w:val="21"/>
                <w:lang w:eastAsia="en-GB"/>
              </w:rPr>
              <w:t>erdahulu sekurang-kurangnya [ ]:1 ("</w:t>
            </w:r>
            <w:r>
              <w:rPr>
                <w:rFonts w:ascii="Arial" w:hAnsi="Arial" w:cs="Arial"/>
                <w:b/>
                <w:sz w:val="21"/>
                <w:szCs w:val="21"/>
                <w:lang w:eastAsia="en-GB"/>
              </w:rPr>
              <w:t>Perbaikan Ekuitas</w:t>
            </w:r>
            <w:r>
              <w:rPr>
                <w:rFonts w:ascii="Arial" w:hAnsi="Arial" w:cs="Arial"/>
                <w:sz w:val="21"/>
                <w:szCs w:val="21"/>
                <w:lang w:eastAsia="en-GB"/>
              </w:rPr>
              <w:t>").</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sz w:val="21"/>
                <w:szCs w:val="21"/>
                <w:lang w:eastAsia="en-GB"/>
              </w:rPr>
            </w:pPr>
          </w:p>
        </w:tc>
        <w:tc>
          <w:tcPr>
            <w:tcW w:w="5112" w:type="dxa"/>
          </w:tcPr>
          <w:p>
            <w:pPr>
              <w:pStyle w:val="103"/>
              <w:tabs>
                <w:tab w:val="clear" w:pos="766"/>
              </w:tabs>
              <w:spacing w:after="120"/>
              <w:ind w:left="720" w:hanging="720"/>
              <w:rPr>
                <w:rFonts w:ascii="Arial" w:hAnsi="Arial" w:cs="Arial"/>
                <w:sz w:val="21"/>
                <w:szCs w:val="21"/>
                <w:vertAlign w:val="superscript"/>
              </w:rPr>
            </w:pPr>
            <w:bookmarkStart w:id="183" w:name="_Ref59363261"/>
            <w:r>
              <w:rPr>
                <w:rFonts w:ascii="Arial" w:hAnsi="Arial" w:cs="Arial"/>
                <w:sz w:val="21"/>
                <w:szCs w:val="21"/>
                <w:lang w:eastAsia="en-GB"/>
              </w:rPr>
              <w:t>DSCR Terdahulu akan dihitung atau dihitung kembali untuk Periode Perhitungan terkait seolah-olah [</w:t>
            </w:r>
            <w:r>
              <w:rPr>
                <w:rFonts w:ascii="Arial" w:hAnsi="Arial" w:cs="Arial"/>
                <w:i/>
                <w:sz w:val="21"/>
                <w:szCs w:val="21"/>
                <w:lang w:eastAsia="en-GB"/>
              </w:rPr>
              <w:t>masukkan metode yang harus digunakan untuk Perbaikan Ekuitas</w:t>
            </w:r>
            <w:r>
              <w:rPr>
                <w:rFonts w:ascii="Arial" w:hAnsi="Arial" w:cs="Arial"/>
                <w:sz w:val="21"/>
                <w:szCs w:val="21"/>
                <w:lang w:eastAsia="en-GB"/>
              </w:rPr>
              <w:t>] [berdasarkan jumlah yang setara dengan Ekuitas tambahan yang diterima oleh Debitur pada hari pertama Periode Perhitungan tersebut].</w:t>
            </w:r>
            <w:bookmarkStart w:id="184" w:name="_9kR3WTr6734ELEAF"/>
            <w:r>
              <w:rPr>
                <w:rStyle w:val="25"/>
                <w:rFonts w:ascii="Arial" w:hAnsi="Arial" w:cs="Arial"/>
                <w:sz w:val="21"/>
                <w:szCs w:val="21"/>
              </w:rPr>
              <w:footnoteReference w:id="123"/>
            </w:r>
            <w:bookmarkEnd w:id="183"/>
            <w:bookmarkEnd w:id="184"/>
            <w:r>
              <w:rPr>
                <w:rFonts w:ascii="Arial" w:hAnsi="Arial" w:cs="Arial"/>
                <w:sz w:val="21"/>
                <w:szCs w:val="21"/>
                <w:lang w:eastAsia="en-GB"/>
              </w:rPr>
              <w:t xml:space="preserve"> </w:t>
            </w:r>
          </w:p>
        </w:tc>
      </w:tr>
      <w:tr>
        <w:tblPrEx>
          <w:tblCellMar>
            <w:top w:w="0" w:type="dxa"/>
            <w:left w:w="108" w:type="dxa"/>
            <w:bottom w:w="0" w:type="dxa"/>
            <w:right w:w="108" w:type="dxa"/>
          </w:tblCellMar>
        </w:tblPrEx>
        <w:tc>
          <w:tcPr>
            <w:tcW w:w="3555" w:type="dxa"/>
          </w:tcPr>
          <w:p>
            <w:pPr>
              <w:pStyle w:val="103"/>
              <w:numPr>
                <w:ilvl w:val="0"/>
                <w:numId w:val="0"/>
              </w:numPr>
              <w:tabs>
                <w:tab w:val="clear" w:pos="766"/>
              </w:tabs>
              <w:spacing w:after="120"/>
              <w:rPr>
                <w:rFonts w:ascii="Arial" w:hAnsi="Arial" w:cs="Arial"/>
                <w:sz w:val="21"/>
                <w:szCs w:val="21"/>
                <w:lang w:eastAsia="en-GB"/>
              </w:rPr>
            </w:pPr>
          </w:p>
        </w:tc>
        <w:tc>
          <w:tcPr>
            <w:tcW w:w="5112" w:type="dxa"/>
          </w:tcPr>
          <w:p>
            <w:pPr>
              <w:pStyle w:val="103"/>
              <w:tabs>
                <w:tab w:val="clear" w:pos="766"/>
              </w:tabs>
              <w:spacing w:after="120"/>
              <w:ind w:left="720" w:hanging="720"/>
              <w:rPr>
                <w:rFonts w:ascii="Arial" w:hAnsi="Arial" w:cs="Arial"/>
                <w:sz w:val="21"/>
                <w:szCs w:val="21"/>
                <w:lang w:eastAsia="en-GB"/>
              </w:rPr>
            </w:pPr>
            <w:r>
              <w:rPr>
                <w:rFonts w:ascii="Arial" w:hAnsi="Arial" w:cs="Arial"/>
                <w:sz w:val="21"/>
                <w:szCs w:val="21"/>
              </w:rPr>
              <w:t>Setiap</w:t>
            </w:r>
            <w:r>
              <w:rPr>
                <w:rFonts w:ascii="Arial" w:hAnsi="Arial" w:cs="Arial"/>
                <w:sz w:val="21"/>
                <w:szCs w:val="21"/>
                <w:lang w:eastAsia="en-GB"/>
              </w:rPr>
              <w:t xml:space="preserve"> Perbaikan Ekuitas akan tunduk pada syarat-syarat sebagai berikut: (i) Kreditur memberitahukan kepada Agen </w:t>
            </w:r>
            <w:r>
              <w:rPr>
                <w:rFonts w:ascii="Arial" w:hAnsi="Arial" w:cs="Arial"/>
                <w:sz w:val="21"/>
                <w:szCs w:val="21"/>
                <w:lang w:val="en-US" w:eastAsia="en-GB"/>
              </w:rPr>
              <w:t>Antarkreditur</w:t>
            </w:r>
            <w:r>
              <w:rPr>
                <w:rFonts w:ascii="Arial" w:hAnsi="Arial" w:cs="Arial"/>
                <w:sz w:val="21"/>
                <w:szCs w:val="21"/>
                <w:lang w:eastAsia="en-GB"/>
              </w:rPr>
              <w:t xml:space="preserve"> bahwa pihaknya bermaksud untuk memperoleh Perbaikan Ekuitas dalam waktu [ ] hari dari Tanggal Perhitungan terkait; (ii) Kreditur menerima hasil-hasil dari Perbaikan Ekuitas tersebut dalam waktu [ ] hari sejak Tanggal Perhitungan tersebut; (iii) Para Sponsor/Para Pemegang Saham tidak berhak untuk memperoleh Perbaikan Ekuitas sehubungan dengan ketidakpatuhan secara berturut-turut sebanyak [ ] kali atau ketidakpatuhan yang dilakukan terpisah sebanyak [ ] kali secara keseluruhan; dan (iv) tidak ada pernyataan atau pembayaran dividen atau distribusi atau pembayaran kembali pinjaman-pinjaman pemegang saham yang diizinkan sehubungan dengan Tanggal Perhitungan saat dilaksanakannya Perbaikan Ekuitas.</w:t>
            </w:r>
            <w:bookmarkStart w:id="185" w:name="_9kR3WTr5B84EM"/>
            <w:r>
              <w:rPr>
                <w:rFonts w:ascii="Arial" w:hAnsi="Arial" w:cs="Arial"/>
                <w:sz w:val="21"/>
                <w:szCs w:val="21"/>
                <w:lang w:eastAsia="en-GB"/>
              </w:rPr>
              <w:t>]</w:t>
            </w:r>
            <w:bookmarkEnd w:id="185"/>
          </w:p>
        </w:tc>
      </w:tr>
      <w:bookmarkEnd w:id="0"/>
    </w:tbl>
    <w:p>
      <w:pPr>
        <w:widowControl w:val="0"/>
        <w:spacing w:after="120"/>
        <w:ind w:left="1070"/>
        <w:rPr>
          <w:rFonts w:ascii="Arial" w:hAnsi="Arial" w:cs="Arial"/>
          <w:sz w:val="21"/>
          <w:szCs w:val="21"/>
        </w:rPr>
      </w:pPr>
    </w:p>
    <w:p>
      <w:pPr>
        <w:pStyle w:val="107"/>
        <w:pageBreakBefore/>
        <w:spacing w:after="120"/>
        <w:rPr>
          <w:rFonts w:ascii="Arial" w:hAnsi="Arial" w:cs="Arial"/>
          <w:sz w:val="21"/>
          <w:szCs w:val="21"/>
          <w:lang w:val="id-ID"/>
        </w:rPr>
      </w:pPr>
      <w:bookmarkStart w:id="186" w:name="_Ref37768890"/>
      <w:bookmarkStart w:id="187" w:name="_Toc74557560"/>
      <w:bookmarkStart w:id="188" w:name="_Toc74860706"/>
      <w:r>
        <w:rPr>
          <w:rFonts w:ascii="Arial" w:hAnsi="Arial" w:cs="Arial"/>
          <w:sz w:val="21"/>
          <w:szCs w:val="21"/>
          <w:lang w:val="id-ID"/>
        </w:rPr>
        <w:t xml:space="preserve">PERNYATAAN-PERNYATAAN, JANJI-JANJI </w:t>
      </w:r>
      <w:bookmarkEnd w:id="186"/>
      <w:r>
        <w:rPr>
          <w:rFonts w:ascii="Arial" w:hAnsi="Arial" w:cs="Arial"/>
          <w:sz w:val="21"/>
          <w:szCs w:val="21"/>
          <w:lang w:val="id-ID"/>
        </w:rPr>
        <w:t>DAN PERISTIWA</w:t>
      </w:r>
      <w:r>
        <w:rPr>
          <w:rFonts w:ascii="Arial" w:hAnsi="Arial" w:cs="Arial"/>
          <w:sz w:val="21"/>
          <w:szCs w:val="21"/>
          <w:lang w:val="en-US"/>
        </w:rPr>
        <w:t>-PERISTIWA</w:t>
      </w:r>
      <w:r>
        <w:rPr>
          <w:rFonts w:ascii="Arial" w:hAnsi="Arial" w:cs="Arial"/>
          <w:sz w:val="21"/>
          <w:szCs w:val="21"/>
          <w:lang w:val="id-ID"/>
        </w:rPr>
        <w:t xml:space="preserve"> CEDERA JANJI</w:t>
      </w:r>
      <w:bookmarkEnd w:id="187"/>
      <w:bookmarkEnd w:id="188"/>
    </w:p>
    <w:tbl>
      <w:tblPr>
        <w:tblStyle w:val="17"/>
        <w:tblW w:w="5000" w:type="pct"/>
        <w:tblInd w:w="0" w:type="dxa"/>
        <w:tblLayout w:type="fixed"/>
        <w:tblCellMar>
          <w:top w:w="0" w:type="dxa"/>
          <w:left w:w="108" w:type="dxa"/>
          <w:bottom w:w="0" w:type="dxa"/>
          <w:right w:w="108" w:type="dxa"/>
        </w:tblCellMar>
      </w:tblPr>
      <w:tblGrid>
        <w:gridCol w:w="3517"/>
        <w:gridCol w:w="5366"/>
      </w:tblGrid>
      <w:tr>
        <w:tblPrEx>
          <w:tblCellMar>
            <w:top w:w="0" w:type="dxa"/>
            <w:left w:w="108" w:type="dxa"/>
            <w:bottom w:w="0" w:type="dxa"/>
            <w:right w:w="108" w:type="dxa"/>
          </w:tblCellMar>
        </w:tblPrEx>
        <w:trPr>
          <w:trHeight w:val="2178" w:hRule="atLeast"/>
        </w:trPr>
        <w:tc>
          <w:tcPr>
            <w:tcW w:w="3431" w:type="dxa"/>
          </w:tcPr>
          <w:p>
            <w:pPr>
              <w:pStyle w:val="105"/>
              <w:keepNext w:val="0"/>
              <w:widowControl w:val="0"/>
              <w:tabs>
                <w:tab w:val="clear" w:pos="720"/>
              </w:tabs>
              <w:suppressAutoHyphens w:val="0"/>
              <w:spacing w:after="120"/>
              <w:rPr>
                <w:rFonts w:ascii="Arial" w:hAnsi="Arial" w:cs="Arial"/>
                <w:b w:val="0"/>
                <w:sz w:val="21"/>
                <w:szCs w:val="21"/>
                <w:lang w:val="id-ID"/>
              </w:rPr>
            </w:pPr>
            <w:bookmarkStart w:id="189" w:name="_Toc74557561"/>
            <w:bookmarkStart w:id="190" w:name="_Toc74860707"/>
            <w:r>
              <w:rPr>
                <w:rFonts w:ascii="Arial" w:hAnsi="Arial" w:cs="Arial"/>
                <w:sz w:val="21"/>
                <w:szCs w:val="21"/>
                <w:lang w:val="id-ID"/>
              </w:rPr>
              <w:t>Pernyataan-pernyataan:</w:t>
            </w:r>
            <w:bookmarkEnd w:id="189"/>
            <w:bookmarkEnd w:id="190"/>
          </w:p>
        </w:tc>
        <w:tc>
          <w:tcPr>
            <w:tcW w:w="5236" w:type="dxa"/>
          </w:tcPr>
          <w:p>
            <w:pPr>
              <w:widowControl w:val="0"/>
              <w:spacing w:after="120"/>
              <w:rPr>
                <w:rFonts w:ascii="Arial" w:hAnsi="Arial" w:cs="Arial"/>
                <w:sz w:val="21"/>
                <w:szCs w:val="21"/>
                <w:lang w:val="id-ID"/>
              </w:rPr>
            </w:pPr>
            <w:r>
              <w:rPr>
                <w:rFonts w:ascii="Arial" w:hAnsi="Arial" w:cs="Arial"/>
                <w:sz w:val="21"/>
                <w:szCs w:val="21"/>
                <w:lang w:val="en-US"/>
              </w:rPr>
              <w:t>Debitur</w:t>
            </w:r>
            <w:r>
              <w:rPr>
                <w:rFonts w:ascii="Arial" w:hAnsi="Arial" w:cs="Arial"/>
                <w:sz w:val="21"/>
                <w:szCs w:val="21"/>
                <w:lang w:val="id-ID"/>
              </w:rPr>
              <w:t xml:space="preserve"> akan membuat pernyataan-pernyataan yang biasa untuk fasilitas seperti ini ((</w:t>
            </w:r>
            <w:r>
              <w:rPr>
                <w:rFonts w:ascii="Arial" w:hAnsi="Arial" w:cs="Arial"/>
                <w:sz w:val="21"/>
                <w:szCs w:val="21"/>
                <w:lang w:val="en-US"/>
              </w:rPr>
              <w:t>tunduk pada</w:t>
            </w:r>
            <w:r>
              <w:rPr>
                <w:rFonts w:ascii="Arial" w:hAnsi="Arial" w:cs="Arial"/>
                <w:sz w:val="21"/>
                <w:szCs w:val="21"/>
                <w:lang w:val="id-ID"/>
              </w:rPr>
              <w:t xml:space="preserve"> </w:t>
            </w:r>
            <w:r>
              <w:rPr>
                <w:rFonts w:ascii="Arial" w:hAnsi="Arial" w:cs="Arial"/>
                <w:sz w:val="21"/>
                <w:szCs w:val="21"/>
                <w:lang w:val="en-US"/>
              </w:rPr>
              <w:t xml:space="preserve">sifat </w:t>
            </w:r>
            <w:r>
              <w:rPr>
                <w:rFonts w:ascii="Arial" w:hAnsi="Arial" w:cs="Arial"/>
                <w:sz w:val="21"/>
                <w:szCs w:val="21"/>
                <w:lang w:val="id-ID"/>
              </w:rPr>
              <w:t>material</w:t>
            </w:r>
            <w:r>
              <w:rPr>
                <w:rFonts w:ascii="Arial" w:hAnsi="Arial" w:cs="Arial"/>
                <w:sz w:val="21"/>
                <w:szCs w:val="21"/>
                <w:lang w:val="en-US"/>
              </w:rPr>
              <w:t xml:space="preserve"> </w:t>
            </w:r>
            <w:r>
              <w:rPr>
                <w:rFonts w:ascii="Arial" w:hAnsi="Arial" w:cs="Arial"/>
                <w:sz w:val="21"/>
                <w:szCs w:val="21"/>
                <w:lang w:val="id-ID"/>
              </w:rPr>
              <w:t>atau kualifikasi</w:t>
            </w:r>
            <w:r>
              <w:rPr>
                <w:rFonts w:ascii="Arial" w:hAnsi="Arial" w:cs="Arial"/>
                <w:sz w:val="21"/>
                <w:szCs w:val="21"/>
                <w:lang w:val="en-US"/>
              </w:rPr>
              <w:t>-</w:t>
            </w:r>
            <w:r>
              <w:rPr>
                <w:rFonts w:ascii="Arial" w:hAnsi="Arial" w:cs="Arial"/>
                <w:sz w:val="21"/>
                <w:szCs w:val="21"/>
                <w:lang w:val="id-ID"/>
              </w:rPr>
              <w:t>kualifikasi dan pengecualian</w:t>
            </w:r>
            <w:r>
              <w:rPr>
                <w:rFonts w:ascii="Arial" w:hAnsi="Arial" w:cs="Arial"/>
                <w:sz w:val="21"/>
                <w:szCs w:val="21"/>
                <w:lang w:val="en-US"/>
              </w:rPr>
              <w:t>-</w:t>
            </w:r>
            <w:r>
              <w:rPr>
                <w:rFonts w:ascii="Arial" w:hAnsi="Arial" w:cs="Arial"/>
                <w:sz w:val="21"/>
                <w:szCs w:val="21"/>
                <w:lang w:val="id-ID"/>
              </w:rPr>
              <w:t>pengecualian lain yang mungkin disepakati) pada tanggal Perjanjian dan [dalam hal (  ) hingga (  ) ("</w:t>
            </w:r>
            <w:r>
              <w:rPr>
                <w:rFonts w:ascii="Arial" w:hAnsi="Arial" w:cs="Arial"/>
                <w:b/>
                <w:bCs/>
                <w:sz w:val="21"/>
                <w:szCs w:val="21"/>
                <w:lang w:val="id-ID"/>
              </w:rPr>
              <w:t>Pernyataan-pernyataan Berulang</w:t>
            </w:r>
            <w:r>
              <w:rPr>
                <w:rFonts w:ascii="Arial" w:hAnsi="Arial" w:cs="Arial"/>
                <w:sz w:val="21"/>
                <w:szCs w:val="21"/>
                <w:lang w:val="id-ID"/>
              </w:rPr>
              <w:t>")]</w:t>
            </w:r>
            <w:r>
              <w:rPr>
                <w:rStyle w:val="25"/>
                <w:rFonts w:ascii="Arial" w:hAnsi="Arial" w:cs="Arial"/>
                <w:sz w:val="21"/>
                <w:szCs w:val="21"/>
                <w:lang w:val="id-ID"/>
              </w:rPr>
              <w:footnoteReference w:id="124"/>
            </w:r>
            <w:r>
              <w:rPr>
                <w:rFonts w:ascii="Arial" w:hAnsi="Arial" w:cs="Arial"/>
                <w:sz w:val="21"/>
                <w:szCs w:val="21"/>
                <w:lang w:val="id-ID"/>
              </w:rPr>
              <w:t xml:space="preserve"> pada tanggal masing-masing Permintaan Pengunaan, Pemenuhan Pembiayaan, masing-masing Tanggal Penggunaan dan hari pertama setiap Periode Bunga, termasuk:</w:t>
            </w:r>
            <w:bookmarkStart w:id="191" w:name="_9kR3WTr6734DGAAGHDK"/>
            <w:bookmarkStart w:id="192" w:name="_9kP4WSt67348IHAGHDK"/>
            <w:r>
              <w:rPr>
                <w:rStyle w:val="25"/>
                <w:rFonts w:ascii="Arial" w:hAnsi="Arial" w:cs="Arial"/>
                <w:sz w:val="21"/>
                <w:szCs w:val="21"/>
                <w:lang w:val="id-ID"/>
              </w:rPr>
              <w:footnoteReference w:id="125"/>
            </w:r>
            <w:r>
              <w:rPr>
                <w:rFonts w:ascii="Arial" w:hAnsi="Arial" w:cs="Arial"/>
                <w:sz w:val="21"/>
                <w:szCs w:val="21"/>
                <w:vertAlign w:val="superscript"/>
                <w:lang w:val="id-ID"/>
              </w:rPr>
              <w:t xml:space="preserve"> </w:t>
            </w:r>
            <w:r>
              <w:rPr>
                <w:rFonts w:ascii="Arial" w:hAnsi="Arial" w:cs="Arial"/>
                <w:sz w:val="21"/>
                <w:szCs w:val="21"/>
                <w:vertAlign w:val="superscript"/>
                <w:lang w:val="id-ID"/>
              </w:rPr>
              <w:footnoteReference w:id="126"/>
            </w:r>
            <w:bookmarkEnd w:id="191"/>
            <w:bookmarkEnd w:id="192"/>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status;</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kewajiban-kewajiban yang mengikat;</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tidak bertentangan dengan kewajiban-kewajiban lain;</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kekuasaan dan wewenang;</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validitas dan dapat diterimanya bukti;</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hukum yang </w:t>
            </w:r>
            <w:r>
              <w:rPr>
                <w:rFonts w:ascii="Arial" w:hAnsi="Arial" w:cs="Arial"/>
                <w:sz w:val="21"/>
                <w:szCs w:val="21"/>
                <w:lang w:val="en-US"/>
              </w:rPr>
              <w:t>mengatur</w:t>
            </w:r>
            <w:r>
              <w:rPr>
                <w:rFonts w:ascii="Arial" w:hAnsi="Arial" w:cs="Arial"/>
                <w:sz w:val="21"/>
                <w:szCs w:val="21"/>
                <w:lang w:val="id-ID"/>
              </w:rPr>
              <w:t xml:space="preserve"> dan penegakannya;</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Dokumen</w:t>
            </w:r>
            <w:r>
              <w:rPr>
                <w:rFonts w:ascii="Arial" w:hAnsi="Arial" w:cs="Arial"/>
                <w:sz w:val="21"/>
                <w:szCs w:val="21"/>
                <w:lang w:val="en-US"/>
              </w:rPr>
              <w:t>-dokumen</w:t>
            </w:r>
            <w:r>
              <w:rPr>
                <w:rFonts w:ascii="Arial" w:hAnsi="Arial" w:cs="Arial"/>
                <w:sz w:val="21"/>
                <w:szCs w:val="21"/>
                <w:lang w:val="id-ID"/>
              </w:rPr>
              <w:t xml:space="preserve"> Transaksi berisi persyaratan material dari Proyek dan memiliki kekuatan dan </w:t>
            </w:r>
            <w:r>
              <w:rPr>
                <w:rFonts w:ascii="Arial" w:hAnsi="Arial" w:cs="Arial"/>
                <w:sz w:val="21"/>
                <w:szCs w:val="21"/>
                <w:lang w:val="en-US"/>
              </w:rPr>
              <w:t>keberlakuan penuh</w:t>
            </w:r>
            <w:r>
              <w:rPr>
                <w:rFonts w:ascii="Arial" w:hAnsi="Arial" w:cs="Arial"/>
                <w:sz w:val="21"/>
                <w:szCs w:val="21"/>
                <w:lang w:val="id-ID"/>
              </w:rPr>
              <w:t xml:space="preserve">; </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tidak ada bisnis atau perjanjian lain;</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jaminan: (i) tidak ada jaminan atas asetnya selain yang dibuat oleh Dokumen-dokumen Jaminan; (ii) peringkat jaminan; (iii) dibuat secara sah; (iv) </w:t>
            </w:r>
            <w:r>
              <w:rPr>
                <w:rFonts w:ascii="Arial" w:hAnsi="Arial" w:cs="Arial"/>
                <w:sz w:val="21"/>
                <w:szCs w:val="21"/>
                <w:lang w:val="en-US"/>
              </w:rPr>
              <w:t xml:space="preserve">hak </w:t>
            </w:r>
            <w:r>
              <w:rPr>
                <w:rFonts w:ascii="Arial" w:hAnsi="Arial" w:cs="Arial"/>
                <w:sz w:val="21"/>
                <w:szCs w:val="21"/>
                <w:lang w:val="id-ID"/>
              </w:rPr>
              <w:t>kepemilikan yang baik dan dapat dipasarkan; (v) kepemilikan yang sah dan bermanfaat</w:t>
            </w:r>
            <w:r>
              <w:rPr>
                <w:rFonts w:ascii="Arial" w:hAnsi="Arial" w:cs="Arial"/>
                <w:sz w:val="21"/>
                <w:szCs w:val="21"/>
                <w:lang w:val="en-US"/>
              </w:rPr>
              <w:t xml:space="preserve"> (</w:t>
            </w:r>
            <w:r>
              <w:rPr>
                <w:rFonts w:ascii="Arial" w:hAnsi="Arial" w:cs="Arial"/>
                <w:i/>
                <w:iCs/>
                <w:sz w:val="21"/>
                <w:szCs w:val="21"/>
                <w:lang w:val="en-US"/>
              </w:rPr>
              <w:t>legal and beneficial ownership</w:t>
            </w:r>
            <w:r>
              <w:rPr>
                <w:rFonts w:ascii="Arial" w:hAnsi="Arial" w:cs="Arial"/>
                <w:sz w:val="21"/>
                <w:szCs w:val="21"/>
                <w:lang w:val="en-US"/>
              </w:rPr>
              <w:t>)</w:t>
            </w:r>
            <w:r>
              <w:rPr>
                <w:rFonts w:ascii="Arial" w:hAnsi="Arial" w:cs="Arial"/>
                <w:sz w:val="21"/>
                <w:szCs w:val="21"/>
                <w:lang w:val="id-ID"/>
              </w:rPr>
              <w:t>; (vi) saham yang tidak tunduk pada opsi apa pun atau hak serupa; dan (vii) tidak ada hubungan perwalian</w:t>
            </w:r>
            <w:r>
              <w:rPr>
                <w:rFonts w:ascii="Arial" w:hAnsi="Arial" w:cs="Arial"/>
                <w:sz w:val="21"/>
                <w:szCs w:val="21"/>
                <w:lang w:val="en-US"/>
              </w:rPr>
              <w:t xml:space="preserve"> (</w:t>
            </w:r>
            <w:r>
              <w:rPr>
                <w:rFonts w:ascii="Arial" w:hAnsi="Arial" w:cs="Arial"/>
                <w:i/>
                <w:iCs/>
                <w:sz w:val="21"/>
                <w:szCs w:val="21"/>
                <w:lang w:val="en-US"/>
              </w:rPr>
              <w:t>trustee</w:t>
            </w:r>
            <w:r>
              <w:rPr>
                <w:rFonts w:ascii="Arial" w:hAnsi="Arial" w:cs="Arial"/>
                <w:sz w:val="21"/>
                <w:szCs w:val="21"/>
                <w:lang w:val="en-US"/>
              </w:rPr>
              <w:t>)</w:t>
            </w:r>
            <w:r>
              <w:rPr>
                <w:rFonts w:ascii="Arial" w:hAnsi="Arial" w:cs="Arial"/>
                <w:sz w:val="21"/>
                <w:szCs w:val="21"/>
                <w:lang w:val="id-ID"/>
              </w:rPr>
              <w:t xml:space="preserve"> atau keagenan;</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persetujuan/otorisasi;</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en-US"/>
              </w:rPr>
              <w:t>insolvensi</w:t>
            </w:r>
            <w:r>
              <w:rPr>
                <w:rFonts w:ascii="Arial" w:hAnsi="Arial" w:cs="Arial"/>
                <w:sz w:val="21"/>
                <w:szCs w:val="21"/>
                <w:lang w:val="id-ID"/>
              </w:rPr>
              <w:t>;</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perpajakan: (i) tidak ada pajak pengajuan atau m</w:t>
            </w:r>
            <w:r>
              <w:rPr>
                <w:rFonts w:ascii="Arial" w:hAnsi="Arial" w:cs="Arial"/>
                <w:sz w:val="21"/>
                <w:szCs w:val="21"/>
                <w:lang w:val="en-US"/>
              </w:rPr>
              <w:t>e</w:t>
            </w:r>
            <w:r>
              <w:rPr>
                <w:rFonts w:ascii="Arial" w:hAnsi="Arial" w:cs="Arial"/>
                <w:sz w:val="21"/>
                <w:szCs w:val="21"/>
                <w:lang w:val="id-ID"/>
              </w:rPr>
              <w:t>terai; (ii) tidak ada pemotongan pajak; (iii)</w:t>
            </w:r>
            <w:r>
              <w:rPr>
                <w:rFonts w:ascii="Arial" w:hAnsi="Arial" w:cs="Arial"/>
                <w:sz w:val="21"/>
                <w:szCs w:val="21"/>
                <w:lang w:val="en-US"/>
              </w:rPr>
              <w:t> </w:t>
            </w:r>
            <w:r>
              <w:rPr>
                <w:rFonts w:ascii="Arial" w:hAnsi="Arial" w:cs="Arial"/>
                <w:sz w:val="21"/>
                <w:szCs w:val="21"/>
                <w:lang w:val="id-ID"/>
              </w:rPr>
              <w:t xml:space="preserve">kepatuhan pajak dan tidak ada klaim pajak; dan (v) domisili pajak; </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tidak ada utang keuangan;</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tidak ada cedera janji [atau peristiwa </w:t>
            </w:r>
            <w:r>
              <w:rPr>
                <w:rFonts w:ascii="Arial" w:hAnsi="Arial" w:cs="Arial"/>
                <w:sz w:val="21"/>
                <w:szCs w:val="21"/>
                <w:lang w:val="en-US"/>
              </w:rPr>
              <w:t>merugikan</w:t>
            </w:r>
            <w:r>
              <w:rPr>
                <w:rFonts w:ascii="Arial" w:hAnsi="Arial" w:cs="Arial"/>
                <w:sz w:val="21"/>
                <w:szCs w:val="21"/>
                <w:lang w:val="id-ID"/>
              </w:rPr>
              <w:t xml:space="preserve"> lainnya];</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tidak ada informasi yang menyesatkan;</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laporan keuangan;</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i/>
                <w:iCs/>
                <w:sz w:val="21"/>
                <w:szCs w:val="21"/>
                <w:lang w:val="en-US"/>
              </w:rPr>
              <w:t>Financial Model</w:t>
            </w:r>
            <w:r>
              <w:rPr>
                <w:rFonts w:ascii="Arial" w:hAnsi="Arial" w:cs="Arial"/>
                <w:sz w:val="21"/>
                <w:szCs w:val="21"/>
                <w:lang w:val="id-ID"/>
              </w:rPr>
              <w:t xml:space="preserve"> (disiapkan dengan itikad baik dan </w:t>
            </w:r>
            <w:r>
              <w:rPr>
                <w:rFonts w:ascii="Arial" w:hAnsi="Arial" w:cs="Arial"/>
                <w:sz w:val="21"/>
                <w:szCs w:val="21"/>
                <w:lang w:val="en-US"/>
              </w:rPr>
              <w:t xml:space="preserve">sesuai </w:t>
            </w:r>
            <w:r>
              <w:rPr>
                <w:rFonts w:ascii="Arial" w:hAnsi="Arial" w:cs="Arial"/>
                <w:sz w:val="21"/>
                <w:szCs w:val="21"/>
                <w:lang w:val="id-ID"/>
              </w:rPr>
              <w:t>dengan anggaran);</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peringkat </w:t>
            </w:r>
            <w:r>
              <w:rPr>
                <w:rFonts w:ascii="Arial" w:hAnsi="Arial" w:cs="Arial"/>
                <w:i/>
                <w:iCs/>
                <w:sz w:val="21"/>
                <w:szCs w:val="21"/>
                <w:lang w:val="id-ID"/>
              </w:rPr>
              <w:t>pari passu</w:t>
            </w:r>
            <w:r>
              <w:rPr>
                <w:rFonts w:ascii="Arial" w:hAnsi="Arial" w:cs="Arial"/>
                <w:sz w:val="21"/>
                <w:szCs w:val="21"/>
                <w:lang w:val="id-ID"/>
              </w:rPr>
              <w:t>;</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tidak ada perkara peradilan yang </w:t>
            </w:r>
            <w:r>
              <w:rPr>
                <w:rFonts w:ascii="Arial" w:hAnsi="Arial" w:cs="Arial"/>
                <w:sz w:val="21"/>
                <w:szCs w:val="21"/>
                <w:lang w:val="en-US"/>
              </w:rPr>
              <w:t xml:space="preserve">sedang berlangsung </w:t>
            </w:r>
            <w:r>
              <w:rPr>
                <w:rFonts w:ascii="Arial" w:hAnsi="Arial" w:cs="Arial"/>
                <w:sz w:val="21"/>
                <w:szCs w:val="21"/>
                <w:lang w:val="id-ID"/>
              </w:rPr>
              <w:t xml:space="preserve">atau </w:t>
            </w:r>
            <w:r>
              <w:rPr>
                <w:rFonts w:ascii="Arial" w:hAnsi="Arial" w:cs="Arial"/>
                <w:sz w:val="21"/>
                <w:szCs w:val="21"/>
                <w:lang w:val="en-US"/>
              </w:rPr>
              <w:t>diancamkan</w:t>
            </w:r>
            <w:r>
              <w:rPr>
                <w:rFonts w:ascii="Arial" w:hAnsi="Arial" w:cs="Arial"/>
                <w:sz w:val="21"/>
                <w:szCs w:val="21"/>
                <w:lang w:val="id-ID"/>
              </w:rPr>
              <w:t>;</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kepatuhan lingkungan dan tidak ada </w:t>
            </w:r>
            <w:r>
              <w:rPr>
                <w:rFonts w:ascii="Arial" w:hAnsi="Arial" w:cs="Arial"/>
                <w:sz w:val="21"/>
                <w:szCs w:val="21"/>
                <w:lang w:val="en-US"/>
              </w:rPr>
              <w:t>gugatan</w:t>
            </w:r>
            <w:r>
              <w:rPr>
                <w:rFonts w:ascii="Arial" w:hAnsi="Arial" w:cs="Arial"/>
                <w:sz w:val="21"/>
                <w:szCs w:val="21"/>
                <w:lang w:val="id-ID"/>
              </w:rPr>
              <w:t xml:space="preserve"> lingkungan</w:t>
            </w:r>
            <w:r>
              <w:rPr>
                <w:rStyle w:val="25"/>
                <w:rFonts w:ascii="Arial" w:hAnsi="Arial" w:cs="Arial"/>
                <w:sz w:val="21"/>
                <w:szCs w:val="21"/>
                <w:lang w:val="id-ID"/>
              </w:rPr>
              <w:footnoteReference w:id="127"/>
            </w:r>
            <w:r>
              <w:rPr>
                <w:rFonts w:ascii="Arial" w:hAnsi="Arial" w:cs="Arial"/>
                <w:sz w:val="21"/>
                <w:szCs w:val="21"/>
                <w:lang w:val="id-ID"/>
              </w:rPr>
              <w:t>;</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asuransi</w:t>
            </w:r>
            <w:r>
              <w:rPr>
                <w:rFonts w:ascii="Arial" w:hAnsi="Arial" w:cs="Arial"/>
                <w:sz w:val="21"/>
                <w:szCs w:val="21"/>
                <w:lang w:val="en-US"/>
              </w:rPr>
              <w:t>-asuransi</w:t>
            </w:r>
            <w:r>
              <w:rPr>
                <w:rFonts w:ascii="Arial" w:hAnsi="Arial" w:cs="Arial"/>
                <w:sz w:val="21"/>
                <w:szCs w:val="21"/>
                <w:lang w:val="id-ID"/>
              </w:rPr>
              <w:t xml:space="preserve"> berlaku dan </w:t>
            </w:r>
            <w:r>
              <w:rPr>
                <w:rFonts w:ascii="Arial" w:hAnsi="Arial" w:cs="Arial"/>
                <w:sz w:val="21"/>
                <w:szCs w:val="21"/>
                <w:lang w:val="en-US"/>
              </w:rPr>
              <w:t>keberlakuan penuh</w:t>
            </w:r>
            <w:r>
              <w:rPr>
                <w:rFonts w:ascii="Arial" w:hAnsi="Arial" w:cs="Arial"/>
                <w:sz w:val="21"/>
                <w:szCs w:val="21"/>
                <w:lang w:val="id-ID"/>
              </w:rPr>
              <w:t xml:space="preserve"> (dan kepatuhan asuransi); </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[hak </w:t>
            </w:r>
            <w:r>
              <w:rPr>
                <w:rFonts w:ascii="Arial" w:hAnsi="Arial" w:cs="Arial"/>
                <w:sz w:val="21"/>
                <w:szCs w:val="21"/>
                <w:lang w:val="en-US"/>
              </w:rPr>
              <w:t xml:space="preserve">kepemilikan </w:t>
            </w:r>
            <w:r>
              <w:rPr>
                <w:rFonts w:ascii="Arial" w:hAnsi="Arial" w:cs="Arial"/>
                <w:sz w:val="21"/>
                <w:szCs w:val="21"/>
                <w:lang w:val="id-ID"/>
              </w:rPr>
              <w:t>atas aset]</w:t>
            </w:r>
            <w:r>
              <w:rPr>
                <w:rStyle w:val="25"/>
                <w:rFonts w:ascii="Arial" w:hAnsi="Arial" w:cs="Arial"/>
                <w:sz w:val="21"/>
                <w:szCs w:val="21"/>
                <w:lang w:val="id-ID"/>
              </w:rPr>
              <w:footnoteReference w:id="128"/>
            </w:r>
            <w:r>
              <w:rPr>
                <w:rFonts w:ascii="Arial" w:hAnsi="Arial" w:cs="Arial"/>
                <w:sz w:val="21"/>
                <w:szCs w:val="21"/>
                <w:lang w:val="id-ID"/>
              </w:rPr>
              <w:t>;</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kekayaan intelektual; </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[tidak ada imunitas dari gugatan, eksekusi, </w:t>
            </w:r>
            <w:r>
              <w:rPr>
                <w:rFonts w:ascii="Arial" w:hAnsi="Arial" w:cs="Arial"/>
                <w:sz w:val="21"/>
                <w:szCs w:val="21"/>
                <w:lang w:val="en-US"/>
              </w:rPr>
              <w:t>penyitaan</w:t>
            </w:r>
            <w:r>
              <w:rPr>
                <w:rFonts w:ascii="Arial" w:hAnsi="Arial" w:cs="Arial"/>
                <w:sz w:val="21"/>
                <w:szCs w:val="21"/>
                <w:lang w:val="id-ID"/>
              </w:rPr>
              <w:t xml:space="preserve"> atau proses hukum lainnya]</w:t>
            </w:r>
            <w:r>
              <w:rPr>
                <w:rStyle w:val="25"/>
                <w:rFonts w:ascii="Arial" w:hAnsi="Arial" w:cs="Arial"/>
                <w:sz w:val="21"/>
                <w:szCs w:val="21"/>
                <w:lang w:val="id-ID"/>
              </w:rPr>
              <w:footnoteReference w:id="129"/>
            </w:r>
            <w:r>
              <w:rPr>
                <w:rFonts w:ascii="Arial" w:hAnsi="Arial" w:cs="Arial"/>
                <w:sz w:val="21"/>
                <w:szCs w:val="21"/>
                <w:lang w:val="id-ID"/>
              </w:rPr>
              <w:t>;</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[tindakan </w:t>
            </w:r>
            <w:r>
              <w:rPr>
                <w:rFonts w:ascii="Arial" w:hAnsi="Arial" w:cs="Arial"/>
                <w:sz w:val="21"/>
                <w:szCs w:val="21"/>
                <w:lang w:val="en-US"/>
              </w:rPr>
              <w:t xml:space="preserve">pribadi </w:t>
            </w:r>
            <w:r>
              <w:rPr>
                <w:rFonts w:ascii="Arial" w:hAnsi="Arial" w:cs="Arial"/>
                <w:sz w:val="21"/>
                <w:szCs w:val="21"/>
                <w:lang w:val="id-ID"/>
              </w:rPr>
              <w:t>dan komersial];</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[tidak ada </w:t>
            </w:r>
            <w:r>
              <w:rPr>
                <w:rFonts w:ascii="Arial" w:hAnsi="Arial" w:cs="Arial"/>
                <w:sz w:val="21"/>
                <w:szCs w:val="21"/>
                <w:lang w:val="en-US"/>
              </w:rPr>
              <w:t>peristiwa keadaan memaksa</w:t>
            </w:r>
            <w:r>
              <w:rPr>
                <w:rFonts w:ascii="Arial" w:hAnsi="Arial" w:cs="Arial"/>
                <w:sz w:val="21"/>
                <w:szCs w:val="21"/>
                <w:lang w:val="id-ID"/>
              </w:rPr>
              <w:t>]</w:t>
            </w:r>
            <w:r>
              <w:rPr>
                <w:rStyle w:val="25"/>
                <w:rFonts w:ascii="Arial" w:hAnsi="Arial" w:cs="Arial"/>
                <w:sz w:val="21"/>
                <w:szCs w:val="21"/>
                <w:lang w:val="id-ID"/>
              </w:rPr>
              <w:footnoteReference w:id="130"/>
            </w:r>
            <w:r>
              <w:rPr>
                <w:rFonts w:ascii="Arial" w:hAnsi="Arial" w:cs="Arial"/>
                <w:sz w:val="21"/>
                <w:szCs w:val="21"/>
                <w:lang w:val="id-ID"/>
              </w:rPr>
              <w:t>;</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kepemilikan dan tidak ada anak perusahaan;</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kepatuhan terhadap hukum yang berlaku dan standar industri yang baik; </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tidak ada suap/korupsi; </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tidak terlibat dalam terorisme atau pencucian uang; </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id-ID"/>
              </w:rPr>
            </w:pPr>
            <w:r>
              <w:rPr>
                <w:rFonts w:ascii="Arial" w:hAnsi="Arial" w:cs="Arial"/>
                <w:sz w:val="21"/>
                <w:szCs w:val="21"/>
                <w:lang w:val="id-ID"/>
              </w:rPr>
              <w:t>sanksi-sanksi; [dan]</w:t>
            </w:r>
          </w:p>
        </w:tc>
      </w:tr>
      <w:tr>
        <w:tblPrEx>
          <w:tblCellMar>
            <w:top w:w="0" w:type="dxa"/>
            <w:left w:w="108" w:type="dxa"/>
            <w:bottom w:w="0" w:type="dxa"/>
            <w:right w:w="108" w:type="dxa"/>
          </w:tblCellMar>
        </w:tblPrEx>
        <w:trPr>
          <w:trHeight w:val="20" w:hRule="atLeast"/>
        </w:trPr>
        <w:tc>
          <w:tcPr>
            <w:tcW w:w="3431" w:type="dxa"/>
          </w:tcPr>
          <w:p>
            <w:pPr>
              <w:widowControl w:val="0"/>
              <w:spacing w:after="120"/>
              <w:rPr>
                <w:rFonts w:ascii="Arial" w:hAnsi="Arial" w:cs="Arial"/>
                <w:sz w:val="21"/>
                <w:szCs w:val="21"/>
                <w:lang w:val="en-US"/>
              </w:rPr>
            </w:pPr>
          </w:p>
        </w:tc>
        <w:tc>
          <w:tcPr>
            <w:tcW w:w="5236" w:type="dxa"/>
          </w:tcPr>
          <w:p>
            <w:pPr>
              <w:pStyle w:val="103"/>
              <w:widowControl w:val="0"/>
              <w:tabs>
                <w:tab w:val="clear" w:pos="766"/>
              </w:tabs>
              <w:spacing w:after="120"/>
              <w:ind w:left="720" w:hanging="720"/>
              <w:rPr>
                <w:rFonts w:ascii="Arial" w:hAnsi="Arial" w:cs="Arial"/>
                <w:sz w:val="21"/>
                <w:szCs w:val="21"/>
                <w:lang w:val="en-US"/>
              </w:rPr>
            </w:pPr>
            <w:r>
              <w:rPr>
                <w:rFonts w:ascii="Arial" w:hAnsi="Arial" w:cs="Arial"/>
                <w:sz w:val="21"/>
                <w:szCs w:val="21"/>
                <w:lang w:val="id-ID"/>
              </w:rPr>
              <w:t>[</w:t>
            </w:r>
            <w:r>
              <w:rPr>
                <w:rFonts w:ascii="Arial" w:hAnsi="Arial" w:cs="Arial"/>
                <w:i/>
                <w:iCs/>
                <w:sz w:val="21"/>
                <w:szCs w:val="21"/>
                <w:lang w:val="id-ID"/>
              </w:rPr>
              <w:t>lainnya</w:t>
            </w:r>
            <w:r>
              <w:rPr>
                <w:rFonts w:ascii="Arial" w:hAnsi="Arial" w:cs="Arial"/>
                <w:sz w:val="21"/>
                <w:szCs w:val="21"/>
                <w:lang w:val="en-US"/>
              </w:rPr>
              <w:t>].</w:t>
            </w:r>
          </w:p>
        </w:tc>
      </w:tr>
      <w:tr>
        <w:tblPrEx>
          <w:tblCellMar>
            <w:top w:w="0" w:type="dxa"/>
            <w:left w:w="108" w:type="dxa"/>
            <w:bottom w:w="0" w:type="dxa"/>
            <w:right w:w="108" w:type="dxa"/>
          </w:tblCellMar>
        </w:tblPrEx>
        <w:trPr>
          <w:trHeight w:val="80" w:hRule="atLeast"/>
        </w:trPr>
        <w:tc>
          <w:tcPr>
            <w:tcW w:w="3431" w:type="dxa"/>
          </w:tcPr>
          <w:p>
            <w:pPr>
              <w:pStyle w:val="105"/>
              <w:keepNext w:val="0"/>
              <w:widowControl w:val="0"/>
              <w:tabs>
                <w:tab w:val="clear" w:pos="720"/>
              </w:tabs>
              <w:suppressAutoHyphens w:val="0"/>
              <w:spacing w:after="120"/>
              <w:jc w:val="both"/>
              <w:rPr>
                <w:rFonts w:ascii="Arial" w:hAnsi="Arial" w:cs="Arial"/>
                <w:sz w:val="21"/>
                <w:szCs w:val="21"/>
                <w:lang w:val="id-ID"/>
              </w:rPr>
            </w:pPr>
            <w:bookmarkStart w:id="193" w:name="_Toc74860708"/>
            <w:bookmarkStart w:id="194" w:name="_Toc74557562"/>
            <w:r>
              <w:rPr>
                <w:rFonts w:ascii="Arial" w:hAnsi="Arial" w:cs="Arial"/>
                <w:sz w:val="21"/>
                <w:szCs w:val="21"/>
                <w:lang w:val="en-US"/>
              </w:rPr>
              <w:t>Janji-janji terkait Informasi</w:t>
            </w:r>
            <w:r>
              <w:rPr>
                <w:rFonts w:ascii="Arial" w:hAnsi="Arial" w:cs="Arial"/>
                <w:sz w:val="21"/>
                <w:szCs w:val="21"/>
                <w:lang w:val="id-ID"/>
              </w:rPr>
              <w:t>:</w:t>
            </w:r>
            <w:bookmarkEnd w:id="193"/>
            <w:bookmarkEnd w:id="194"/>
          </w:p>
        </w:tc>
        <w:tc>
          <w:tcPr>
            <w:tcW w:w="5236" w:type="dxa"/>
          </w:tcPr>
          <w:p>
            <w:pPr>
              <w:widowControl w:val="0"/>
              <w:spacing w:after="120"/>
              <w:rPr>
                <w:rFonts w:ascii="Arial" w:hAnsi="Arial" w:eastAsia="Times New Roman" w:cs="Arial"/>
                <w:sz w:val="21"/>
                <w:szCs w:val="21"/>
                <w:lang w:val="id-ID"/>
              </w:rPr>
            </w:pPr>
            <w:r>
              <w:rPr>
                <w:rFonts w:ascii="Arial" w:hAnsi="Arial" w:cs="Arial"/>
                <w:sz w:val="21"/>
                <w:szCs w:val="21"/>
                <w:lang w:val="id-ID"/>
              </w:rPr>
              <w:t>Perusahaan Proyek harus menyediakan masing-masing dari berikut ini (tanpa batasan):</w:t>
            </w:r>
          </w:p>
        </w:tc>
      </w:tr>
      <w:tr>
        <w:tblPrEx>
          <w:tblCellMar>
            <w:top w:w="0" w:type="dxa"/>
            <w:left w:w="108" w:type="dxa"/>
            <w:bottom w:w="0" w:type="dxa"/>
            <w:right w:w="108" w:type="dxa"/>
          </w:tblCellMar>
        </w:tblPrEx>
        <w:trPr>
          <w:trHeight w:val="80" w:hRule="atLeast"/>
        </w:trPr>
        <w:tc>
          <w:tcPr>
            <w:tcW w:w="3431" w:type="dxa"/>
          </w:tcPr>
          <w:p>
            <w:pPr>
              <w:widowControl w:val="0"/>
              <w:spacing w:after="120"/>
              <w:rPr>
                <w:rFonts w:ascii="Arial" w:hAnsi="Arial" w:cs="Arial"/>
                <w:sz w:val="21"/>
                <w:szCs w:val="21"/>
                <w:lang w:val="id-ID"/>
              </w:rPr>
            </w:pPr>
          </w:p>
        </w:tc>
        <w:tc>
          <w:tcPr>
            <w:tcW w:w="5236" w:type="dxa"/>
          </w:tcPr>
          <w:p>
            <w:pPr>
              <w:widowControl w:val="0"/>
              <w:spacing w:after="120"/>
              <w:rPr>
                <w:rFonts w:ascii="Arial" w:hAnsi="Arial" w:cs="Arial"/>
                <w:b/>
                <w:bCs/>
                <w:i/>
                <w:iCs/>
                <w:sz w:val="21"/>
                <w:szCs w:val="21"/>
                <w:lang w:val="id-ID"/>
              </w:rPr>
            </w:pPr>
            <w:r>
              <w:rPr>
                <w:rFonts w:ascii="Arial" w:hAnsi="Arial" w:cs="Arial"/>
                <w:b/>
                <w:bCs/>
                <w:i/>
                <w:iCs/>
                <w:sz w:val="21"/>
                <w:szCs w:val="21"/>
                <w:lang w:val="id-ID"/>
              </w:rPr>
              <w:t>Laporan keuangan</w:t>
            </w:r>
          </w:p>
        </w:tc>
      </w:tr>
      <w:tr>
        <w:tblPrEx>
          <w:tblCellMar>
            <w:top w:w="0" w:type="dxa"/>
            <w:left w:w="108" w:type="dxa"/>
            <w:bottom w:w="0" w:type="dxa"/>
            <w:right w:w="108" w:type="dxa"/>
          </w:tblCellMar>
        </w:tblPrEx>
        <w:trPr>
          <w:trHeight w:val="80" w:hRule="atLeast"/>
        </w:trPr>
        <w:tc>
          <w:tcPr>
            <w:tcW w:w="3431" w:type="dxa"/>
          </w:tcPr>
          <w:p>
            <w:pPr>
              <w:widowControl w:val="0"/>
              <w:spacing w:after="120"/>
              <w:rPr>
                <w:rFonts w:ascii="Arial" w:hAnsi="Arial" w:cs="Arial"/>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segera setelah tersedia, tetapi bagaimanapun juga dalam [       ] hari dari akhir tahun keuangannya, laporan keuangan [konsolidasi] yang telah diaudit [bersama dengan laporan setiap Pemegang Saham/Sponsor/[</w:t>
            </w:r>
            <w:r>
              <w:rPr>
                <w:rFonts w:ascii="Arial" w:hAnsi="Arial" w:cs="Arial"/>
                <w:sz w:val="21"/>
                <w:szCs w:val="21"/>
              </w:rPr>
              <w:t>Partisipan Proyek Utama</w:t>
            </w:r>
            <w:r>
              <w:rPr>
                <w:rFonts w:ascii="Arial" w:hAnsi="Arial" w:cs="Arial"/>
                <w:sz w:val="21"/>
                <w:szCs w:val="21"/>
                <w:lang w:val="id-ID"/>
              </w:rPr>
              <w:t>]]</w:t>
            </w:r>
            <w:r>
              <w:rPr>
                <w:rStyle w:val="25"/>
                <w:rFonts w:ascii="Arial" w:hAnsi="Arial" w:cs="Arial"/>
                <w:sz w:val="21"/>
                <w:szCs w:val="21"/>
                <w:lang w:val="id-ID"/>
              </w:rPr>
              <w:footnoteReference w:id="131"/>
            </w:r>
            <w:r>
              <w:rPr>
                <w:rFonts w:ascii="Arial" w:hAnsi="Arial" w:cs="Arial"/>
                <w:sz w:val="21"/>
                <w:szCs w:val="21"/>
                <w:lang w:val="id-ID"/>
              </w:rPr>
              <w:t>;</w:t>
            </w:r>
          </w:p>
        </w:tc>
      </w:tr>
      <w:tr>
        <w:tblPrEx>
          <w:tblCellMar>
            <w:top w:w="0" w:type="dxa"/>
            <w:left w:w="108" w:type="dxa"/>
            <w:bottom w:w="0" w:type="dxa"/>
            <w:right w:w="108" w:type="dxa"/>
          </w:tblCellMar>
        </w:tblPrEx>
        <w:trPr>
          <w:trHeight w:val="1008" w:hRule="atLeast"/>
        </w:trPr>
        <w:tc>
          <w:tcPr>
            <w:tcW w:w="3431" w:type="dxa"/>
            <w:tcBorders>
              <w:bottom w:val="nil"/>
            </w:tcBorders>
          </w:tcPr>
          <w:p>
            <w:pPr>
              <w:pStyle w:val="105"/>
              <w:keepNext w:val="0"/>
              <w:widowControl w:val="0"/>
              <w:numPr>
                <w:ilvl w:val="0"/>
                <w:numId w:val="0"/>
              </w:numPr>
              <w:suppressAutoHyphens w:val="0"/>
              <w:spacing w:after="120"/>
              <w:ind w:left="720"/>
              <w:rPr>
                <w:rFonts w:ascii="Arial" w:hAnsi="Arial" w:cs="Arial"/>
                <w:b w:val="0"/>
                <w:sz w:val="21"/>
                <w:szCs w:val="21"/>
                <w:lang w:val="id-ID"/>
              </w:rPr>
            </w:pPr>
          </w:p>
        </w:tc>
        <w:tc>
          <w:tcPr>
            <w:tcW w:w="5236" w:type="dxa"/>
            <w:tcBorders>
              <w:bottom w:val="nil"/>
            </w:tcBorders>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segera setelah tersedia, tetapi bagaimanapun juga dalam [       ] hari dari akhir setengah tahun keuangannya, laporan keuangan konsolidasi yang tidak diaudit [bersama dengan laporan masing-masing Pemegang Saham/Sponsor/[</w:t>
            </w:r>
            <w:r>
              <w:rPr>
                <w:rFonts w:ascii="Arial" w:hAnsi="Arial" w:cs="Arial"/>
                <w:sz w:val="21"/>
                <w:szCs w:val="21"/>
              </w:rPr>
              <w:t>Partisipan Proyek Utama</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[segera setelah tersedia, tetapi bagaimanapun juga dalam [</w:t>
            </w:r>
            <w:bookmarkStart w:id="195" w:name="_9kML7K6ZWu9A67EI"/>
            <w:bookmarkStart w:id="196" w:name="_9kML7I7ZVw9A67AB"/>
            <w:r>
              <w:rPr>
                <w:rFonts w:ascii="Arial" w:hAnsi="Arial" w:cs="Arial"/>
                <w:sz w:val="21"/>
                <w:szCs w:val="21"/>
                <w:lang w:val="id-ID"/>
              </w:rPr>
              <w:t>•</w:t>
            </w:r>
            <w:bookmarkEnd w:id="195"/>
            <w:bookmarkEnd w:id="196"/>
            <w:r>
              <w:rPr>
                <w:rFonts w:ascii="Arial" w:hAnsi="Arial" w:cs="Arial"/>
                <w:sz w:val="21"/>
                <w:szCs w:val="21"/>
                <w:lang w:val="id-ID"/>
              </w:rPr>
              <w:t>]hari setelah akhir setiap [kuartal setiap tahun keuangannya]/[bulan] laporan keuangan/rekening manajemen untuk periode tersebut]</w:t>
            </w:r>
            <w:r>
              <w:rPr>
                <w:rStyle w:val="25"/>
                <w:rFonts w:ascii="Arial" w:hAnsi="Arial" w:cs="Arial"/>
                <w:sz w:val="21"/>
                <w:szCs w:val="21"/>
                <w:lang w:val="id-ID"/>
              </w:rPr>
              <w:footnoteReference w:id="132"/>
            </w:r>
            <w:r>
              <w:rPr>
                <w:rFonts w:ascii="Arial" w:hAnsi="Arial" w:cs="Arial"/>
                <w:sz w:val="21"/>
                <w:szCs w:val="21"/>
                <w:lang w:val="id-ID"/>
              </w:rPr>
              <w:t xml:space="preserve">; </w:t>
            </w:r>
            <w:r>
              <w:rPr>
                <w:rFonts w:ascii="Arial" w:hAnsi="Arial" w:cs="Arial"/>
                <w:sz w:val="21"/>
                <w:szCs w:val="21"/>
                <w:lang w:val="en-US"/>
              </w:rPr>
              <w:t>dan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eastAsia="Times New Roman" w:cs="Arial"/>
                <w:b/>
                <w:bCs/>
                <w:i/>
                <w:iCs/>
                <w:sz w:val="21"/>
                <w:szCs w:val="21"/>
                <w:lang w:val="id-ID"/>
              </w:rPr>
            </w:pPr>
            <w:r>
              <w:rPr>
                <w:rFonts w:ascii="Arial" w:hAnsi="Arial" w:cs="Arial"/>
                <w:sz w:val="21"/>
                <w:szCs w:val="21"/>
                <w:lang w:val="id-ID"/>
              </w:rPr>
              <w:t xml:space="preserve">dengan setiap </w:t>
            </w:r>
            <w:r>
              <w:rPr>
                <w:rFonts w:ascii="Arial" w:hAnsi="Arial" w:cs="Arial"/>
                <w:sz w:val="21"/>
                <w:szCs w:val="21"/>
                <w:lang w:val="en-US"/>
              </w:rPr>
              <w:t xml:space="preserve">set </w:t>
            </w:r>
            <w:r>
              <w:rPr>
                <w:rFonts w:ascii="Arial" w:hAnsi="Arial" w:cs="Arial"/>
                <w:sz w:val="21"/>
                <w:szCs w:val="21"/>
                <w:lang w:val="id-ID"/>
              </w:rPr>
              <w:t>laporan keuangan konsolidasi, sertifikat kepatuhan yang ditandatangani oleh dua direktur Perusahaan Proyek [dan, dalam hal laporan keuangan konsolidasi yang diaudit [dilaporkan oleh [Perusahaan Proyek] auditor [</w:t>
            </w:r>
            <w:r>
              <w:rPr>
                <w:rFonts w:ascii="Arial" w:hAnsi="Arial" w:cs="Arial"/>
                <w:i/>
                <w:iCs/>
                <w:sz w:val="21"/>
                <w:szCs w:val="21"/>
                <w:lang w:val="id-ID"/>
              </w:rPr>
              <w:t>masukkan pihak(-pihak) terkait</w:t>
            </w:r>
            <w:r>
              <w:rPr>
                <w:rFonts w:ascii="Arial" w:hAnsi="Arial" w:cs="Arial"/>
                <w:sz w:val="21"/>
                <w:szCs w:val="21"/>
                <w:lang w:val="id-ID"/>
              </w:rPr>
              <w:t>] ]</w:t>
            </w:r>
            <w:r>
              <w:rPr>
                <w:rFonts w:ascii="Arial" w:hAnsi="Arial" w:cs="Arial"/>
                <w:sz w:val="21"/>
                <w:szCs w:val="21"/>
                <w:lang w:val="en-US"/>
              </w:rPr>
              <w:t xml:space="preserve"> </w:t>
            </w:r>
            <w:r>
              <w:rPr>
                <w:rFonts w:ascii="Arial" w:hAnsi="Arial" w:cs="Arial"/>
                <w:sz w:val="21"/>
                <w:szCs w:val="21"/>
                <w:lang w:val="id-ID"/>
              </w:rPr>
              <w:t xml:space="preserve">dalam bentuk yang disepakati oleh Perusahaan Proyek dan </w:t>
            </w:r>
            <w:r>
              <w:rPr>
                <w:rFonts w:ascii="Arial" w:hAnsi="Arial" w:cs="Arial"/>
                <w:sz w:val="21"/>
                <w:szCs w:val="21"/>
                <w:lang w:val="en-US"/>
              </w:rPr>
              <w:t xml:space="preserve">Para </w:t>
            </w:r>
            <w:r>
              <w:rPr>
                <w:rFonts w:ascii="Arial" w:hAnsi="Arial" w:cs="Arial"/>
                <w:sz w:val="21"/>
                <w:szCs w:val="21"/>
                <w:lang w:val="id-ID"/>
              </w:rPr>
              <w:t>Kreditur sebelum tanggal Perjanjian]/[ditandatangani oleh [Perusahaan Proyek] auditor [</w:t>
            </w:r>
            <w:r>
              <w:rPr>
                <w:rFonts w:ascii="Arial" w:hAnsi="Arial" w:cs="Arial"/>
                <w:i/>
                <w:iCs/>
                <w:sz w:val="21"/>
                <w:szCs w:val="21"/>
                <w:lang w:val="id-ID"/>
              </w:rPr>
              <w:t>masukkan pihak(-pihak) terkait</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9"/>
              <w:widowControl w:val="0"/>
              <w:suppressAutoHyphens w:val="0"/>
              <w:spacing w:after="120"/>
              <w:rPr>
                <w:rFonts w:ascii="Arial" w:hAnsi="Arial" w:cs="Arial"/>
                <w:b/>
                <w:bCs/>
                <w:i/>
                <w:iCs/>
                <w:sz w:val="21"/>
                <w:szCs w:val="21"/>
                <w:lang w:val="id-ID"/>
              </w:rPr>
            </w:pPr>
            <w:r>
              <w:rPr>
                <w:rFonts w:ascii="Arial" w:hAnsi="Arial" w:cs="Arial"/>
                <w:b/>
                <w:i/>
                <w:sz w:val="21"/>
                <w:szCs w:val="21"/>
                <w:lang w:val="id-ID"/>
              </w:rPr>
              <w:t>Laporan-laporan proyek</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laporan konstruksi [bulanan] / [kuartalan] (tentang: kemajuan dan biaya</w:t>
            </w:r>
            <w:r>
              <w:rPr>
                <w:rFonts w:ascii="Arial" w:hAnsi="Arial" w:cs="Arial"/>
                <w:sz w:val="21"/>
                <w:szCs w:val="21"/>
                <w:lang w:val="en-US"/>
              </w:rPr>
              <w:t>-biaya</w:t>
            </w:r>
            <w:r>
              <w:rPr>
                <w:rFonts w:ascii="Arial" w:hAnsi="Arial" w:cs="Arial"/>
                <w:sz w:val="21"/>
                <w:szCs w:val="21"/>
                <w:lang w:val="id-ID"/>
              </w:rPr>
              <w:t xml:space="preserve"> untuk anggaran) [dalam bentuk yang disepakati]</w:t>
            </w:r>
            <w:r>
              <w:rPr>
                <w:rStyle w:val="25"/>
                <w:rFonts w:ascii="Arial" w:hAnsi="Arial" w:cs="Arial"/>
                <w:sz w:val="21"/>
                <w:szCs w:val="21"/>
                <w:lang w:val="id-ID"/>
              </w:rPr>
              <w:footnoteReference w:id="133"/>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[laporan-laporan lingkungan]</w:t>
            </w:r>
            <w:r>
              <w:rPr>
                <w:rStyle w:val="25"/>
                <w:rFonts w:ascii="Arial" w:hAnsi="Arial" w:cs="Arial"/>
                <w:sz w:val="21"/>
                <w:szCs w:val="21"/>
                <w:lang w:val="id-ID"/>
              </w:rPr>
              <w:footnoteReference w:id="134"/>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laporan operasi</w:t>
            </w:r>
            <w:r>
              <w:rPr>
                <w:rFonts w:ascii="Arial" w:hAnsi="Arial" w:cs="Arial"/>
                <w:sz w:val="21"/>
                <w:szCs w:val="21"/>
                <w:lang w:val="en-US"/>
              </w:rPr>
              <w:t>onal</w:t>
            </w:r>
            <w:r>
              <w:rPr>
                <w:rFonts w:ascii="Arial" w:hAnsi="Arial" w:cs="Arial"/>
                <w:sz w:val="21"/>
                <w:szCs w:val="21"/>
                <w:lang w:val="id-ID"/>
              </w:rPr>
              <w:t xml:space="preserve"> [kuartalan] / [semesteran] (termasuk kinerja dan biaya untuk anggaran) [dalam bentuk yang disepakati];</w:t>
            </w:r>
          </w:p>
        </w:tc>
      </w:tr>
      <w:tr>
        <w:tblPrEx>
          <w:tblCellMar>
            <w:top w:w="0" w:type="dxa"/>
            <w:left w:w="108" w:type="dxa"/>
            <w:bottom w:w="0" w:type="dxa"/>
            <w:right w:w="108" w:type="dxa"/>
          </w:tblCellMar>
        </w:tblPrEx>
        <w:tc>
          <w:tcPr>
            <w:tcW w:w="3431" w:type="dxa"/>
          </w:tcPr>
          <w:p>
            <w:pPr>
              <w:keepNext/>
              <w:keepLines/>
              <w:spacing w:after="120"/>
              <w:jc w:val="left"/>
              <w:rPr>
                <w:rFonts w:ascii="Arial" w:hAnsi="Arial" w:cs="Arial"/>
                <w:b/>
                <w:sz w:val="21"/>
                <w:szCs w:val="21"/>
                <w:lang w:val="id-ID"/>
              </w:rPr>
            </w:pPr>
          </w:p>
        </w:tc>
        <w:tc>
          <w:tcPr>
            <w:tcW w:w="5236" w:type="dxa"/>
          </w:tcPr>
          <w:p>
            <w:pPr>
              <w:pStyle w:val="59"/>
              <w:keepNext/>
              <w:keepLines/>
              <w:suppressAutoHyphens w:val="0"/>
              <w:spacing w:after="120"/>
              <w:rPr>
                <w:rFonts w:ascii="Arial" w:hAnsi="Arial" w:cs="Arial"/>
                <w:b/>
                <w:i/>
                <w:sz w:val="21"/>
                <w:szCs w:val="21"/>
                <w:lang w:val="id-ID"/>
              </w:rPr>
            </w:pPr>
            <w:r>
              <w:rPr>
                <w:rFonts w:ascii="Arial" w:hAnsi="Arial" w:cs="Arial"/>
                <w:b/>
                <w:i/>
                <w:sz w:val="21"/>
                <w:szCs w:val="21"/>
                <w:lang w:val="id-ID"/>
              </w:rPr>
              <w:t>Anggaran-anggaran</w:t>
            </w:r>
            <w:r>
              <w:rPr>
                <w:rStyle w:val="25"/>
                <w:rFonts w:ascii="Arial" w:hAnsi="Arial" w:cs="Arial"/>
                <w:b/>
                <w:bCs/>
                <w:i/>
                <w:iCs/>
                <w:sz w:val="21"/>
                <w:szCs w:val="21"/>
                <w:lang w:val="id-ID"/>
              </w:rPr>
              <w:footnoteReference w:id="135"/>
            </w:r>
          </w:p>
        </w:tc>
      </w:tr>
      <w:tr>
        <w:tblPrEx>
          <w:tblCellMar>
            <w:top w:w="0" w:type="dxa"/>
            <w:left w:w="108" w:type="dxa"/>
            <w:bottom w:w="0" w:type="dxa"/>
            <w:right w:w="108" w:type="dxa"/>
          </w:tblCellMar>
        </w:tblPrEx>
        <w:tc>
          <w:tcPr>
            <w:tcW w:w="3431" w:type="dxa"/>
          </w:tcPr>
          <w:p>
            <w:pPr>
              <w:keepNext/>
              <w:keepLines/>
              <w:spacing w:after="120"/>
              <w:jc w:val="left"/>
              <w:rPr>
                <w:rFonts w:ascii="Arial" w:hAnsi="Arial" w:cs="Arial"/>
                <w:b/>
                <w:sz w:val="21"/>
                <w:szCs w:val="21"/>
                <w:lang w:val="id-ID"/>
              </w:rPr>
            </w:pPr>
          </w:p>
        </w:tc>
        <w:tc>
          <w:tcPr>
            <w:tcW w:w="5236" w:type="dxa"/>
          </w:tcPr>
          <w:p>
            <w:pPr>
              <w:pStyle w:val="47"/>
              <w:keepNext/>
              <w:keepLines/>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anggaran konstruksi dan operasional;</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9"/>
              <w:keepNext/>
              <w:keepLines/>
              <w:suppressAutoHyphens w:val="0"/>
              <w:spacing w:after="120"/>
              <w:rPr>
                <w:rFonts w:ascii="Arial" w:hAnsi="Arial" w:cs="Arial"/>
                <w:b/>
                <w:i/>
                <w:sz w:val="21"/>
                <w:szCs w:val="21"/>
                <w:lang w:val="id-ID"/>
              </w:rPr>
            </w:pPr>
            <w:r>
              <w:rPr>
                <w:rFonts w:ascii="Arial" w:hAnsi="Arial" w:cs="Arial"/>
                <w:b/>
                <w:i/>
                <w:sz w:val="21"/>
                <w:szCs w:val="21"/>
                <w:lang w:val="en-US"/>
              </w:rPr>
              <w:t>Financial Model</w:t>
            </w:r>
            <w:r>
              <w:rPr>
                <w:rFonts w:ascii="Arial" w:hAnsi="Arial" w:cs="Arial"/>
                <w:b/>
                <w:i/>
                <w:sz w:val="21"/>
                <w:szCs w:val="21"/>
                <w:lang w:val="id-ID"/>
              </w:rPr>
              <w:t xml:space="preserve"> dan Laporan</w:t>
            </w:r>
            <w:r>
              <w:rPr>
                <w:rFonts w:ascii="Arial" w:hAnsi="Arial" w:cs="Arial"/>
                <w:b/>
                <w:i/>
                <w:sz w:val="21"/>
                <w:szCs w:val="21"/>
                <w:lang w:val="en-US"/>
              </w:rPr>
              <w:t xml:space="preserve"> </w:t>
            </w:r>
            <w:r>
              <w:rPr>
                <w:rFonts w:ascii="Arial" w:hAnsi="Arial" w:cs="Arial"/>
                <w:b/>
                <w:i/>
                <w:sz w:val="21"/>
                <w:szCs w:val="21"/>
                <w:lang w:val="id-ID"/>
              </w:rPr>
              <w:t>Keuangan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keepNext/>
              <w:keepLines/>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 xml:space="preserve">pemeliharaan dan modifikasi </w:t>
            </w:r>
            <w:r>
              <w:rPr>
                <w:rFonts w:ascii="Arial" w:hAnsi="Arial" w:cs="Arial"/>
                <w:i/>
                <w:iCs/>
                <w:sz w:val="21"/>
                <w:szCs w:val="21"/>
                <w:lang w:val="en-US"/>
              </w:rPr>
              <w:t>Financial Model</w:t>
            </w:r>
            <w:r>
              <w:rPr>
                <w:rFonts w:ascii="Arial" w:hAnsi="Arial" w:cs="Arial"/>
                <w:sz w:val="21"/>
                <w:szCs w:val="21"/>
                <w:lang w:val="id-ID"/>
              </w:rPr>
              <w:t xml:space="preserve"> (lihat "</w:t>
            </w:r>
            <w:r>
              <w:rPr>
                <w:rFonts w:ascii="Arial" w:hAnsi="Arial" w:cs="Arial"/>
                <w:i/>
                <w:iCs/>
                <w:sz w:val="21"/>
                <w:szCs w:val="21"/>
                <w:lang w:val="en-US"/>
              </w:rPr>
              <w:t xml:space="preserve"> Financial Model</w:t>
            </w:r>
            <w:r>
              <w:rPr>
                <w:rFonts w:ascii="Arial" w:hAnsi="Arial" w:cs="Arial"/>
                <w:sz w:val="21"/>
                <w:szCs w:val="21"/>
                <w:lang w:val="id-ID"/>
              </w:rPr>
              <w:t xml:space="preserve"> " di atas);</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penyampaian Laporan</w:t>
            </w:r>
            <w:r>
              <w:rPr>
                <w:rFonts w:ascii="Arial" w:hAnsi="Arial" w:cs="Arial"/>
                <w:sz w:val="21"/>
                <w:szCs w:val="21"/>
                <w:lang w:val="en-US"/>
              </w:rPr>
              <w:t xml:space="preserve"> </w:t>
            </w:r>
            <w:r>
              <w:rPr>
                <w:rFonts w:ascii="Arial" w:hAnsi="Arial" w:cs="Arial"/>
                <w:sz w:val="21"/>
                <w:szCs w:val="21"/>
                <w:lang w:val="id-ID"/>
              </w:rPr>
              <w:t>Keuangan (dan proses persetujuan dan perselisihan);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9"/>
              <w:widowControl w:val="0"/>
              <w:suppressAutoHyphens w:val="0"/>
              <w:spacing w:after="120"/>
              <w:rPr>
                <w:rFonts w:ascii="Arial" w:hAnsi="Arial" w:cs="Arial"/>
                <w:b/>
                <w:i/>
                <w:sz w:val="21"/>
                <w:szCs w:val="21"/>
                <w:lang w:val="id-ID"/>
              </w:rPr>
            </w:pPr>
            <w:r>
              <w:rPr>
                <w:rFonts w:ascii="Arial" w:hAnsi="Arial" w:cs="Arial"/>
                <w:b/>
                <w:i/>
                <w:sz w:val="21"/>
                <w:szCs w:val="21"/>
                <w:lang w:val="id-ID"/>
              </w:rPr>
              <w:t>Informasi lainnya</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[presentasi</w:t>
            </w:r>
            <w:r>
              <w:rPr>
                <w:rFonts w:ascii="Arial" w:hAnsi="Arial" w:cs="Arial"/>
                <w:sz w:val="21"/>
                <w:szCs w:val="21"/>
                <w:lang w:val="en-US"/>
              </w:rPr>
              <w:t>-presentasi</w:t>
            </w:r>
            <w:r>
              <w:rPr>
                <w:rFonts w:ascii="Arial" w:hAnsi="Arial" w:cs="Arial"/>
                <w:sz w:val="21"/>
                <w:szCs w:val="21"/>
                <w:lang w:val="id-ID"/>
              </w:rPr>
              <w:t xml:space="preserve"> manajemen;]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rincian litigasi, arbitrase atau proses administrasi material atau p</w:t>
            </w:r>
            <w:r>
              <w:rPr>
                <w:rFonts w:ascii="Arial" w:hAnsi="Arial" w:cs="Arial"/>
                <w:sz w:val="21"/>
                <w:szCs w:val="21"/>
                <w:lang w:val="en-US"/>
              </w:rPr>
              <w:t>utusan</w:t>
            </w:r>
            <w:r>
              <w:rPr>
                <w:rFonts w:ascii="Arial" w:hAnsi="Arial" w:cs="Arial"/>
                <w:sz w:val="21"/>
                <w:szCs w:val="21"/>
                <w:lang w:val="id-ID"/>
              </w:rPr>
              <w:t xml:space="preserve"> material apa pun (</w:t>
            </w:r>
            <w:r>
              <w:rPr>
                <w:rFonts w:ascii="Arial" w:hAnsi="Arial" w:cs="Arial"/>
                <w:sz w:val="21"/>
                <w:szCs w:val="21"/>
                <w:lang w:val="en-US"/>
              </w:rPr>
              <w:t xml:space="preserve">yang ada </w:t>
            </w:r>
            <w:r>
              <w:rPr>
                <w:rFonts w:ascii="Arial" w:hAnsi="Arial" w:cs="Arial"/>
                <w:sz w:val="21"/>
                <w:szCs w:val="21"/>
                <w:lang w:val="id-ID"/>
              </w:rPr>
              <w:t xml:space="preserve">saat ini, </w:t>
            </w:r>
            <w:r>
              <w:rPr>
                <w:rFonts w:ascii="Arial" w:hAnsi="Arial" w:cs="Arial"/>
                <w:sz w:val="21"/>
                <w:szCs w:val="21"/>
                <w:lang w:val="en-US"/>
              </w:rPr>
              <w:t xml:space="preserve">diancamkan </w:t>
            </w:r>
            <w:r>
              <w:rPr>
                <w:rFonts w:ascii="Arial" w:hAnsi="Arial" w:cs="Arial"/>
                <w:sz w:val="21"/>
                <w:szCs w:val="21"/>
                <w:lang w:val="id-ID"/>
              </w:rPr>
              <w:t xml:space="preserve">atau </w:t>
            </w:r>
            <w:r>
              <w:rPr>
                <w:rFonts w:ascii="Arial" w:hAnsi="Arial" w:cs="Arial"/>
                <w:sz w:val="21"/>
                <w:szCs w:val="21"/>
                <w:lang w:val="en-US"/>
              </w:rPr>
              <w:t>masih berlangsung</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en-US"/>
              </w:rPr>
              <w:t>s</w:t>
            </w:r>
            <w:r>
              <w:rPr>
                <w:rFonts w:ascii="Arial" w:hAnsi="Arial" w:cs="Arial"/>
                <w:sz w:val="21"/>
                <w:szCs w:val="21"/>
                <w:lang w:val="id-ID"/>
              </w:rPr>
              <w:t>alinan amandemen dan pemberitahuan material yang dikeluarkan terkait dengan Dokumen-dokumen Proyek, asuransi dan otorisasi/persetujuan;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 xml:space="preserve">informasi dan dokumen-dokumen yang berkaitan dengan asuransi;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pemberitahuan tentang Cedera Janji apa pun;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pemberitahuan tentang kejadian keadaan memaksa apa pun;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[pemberitahuan tentang peristiwa tertentu, mis</w:t>
            </w:r>
            <w:r>
              <w:rPr>
                <w:rFonts w:ascii="Arial" w:hAnsi="Arial" w:cs="Arial"/>
                <w:sz w:val="21"/>
                <w:szCs w:val="21"/>
                <w:lang w:val="en-US"/>
              </w:rPr>
              <w:t xml:space="preserve">alnya </w:t>
            </w:r>
            <w:r>
              <w:rPr>
                <w:rFonts w:ascii="Arial" w:hAnsi="Arial" w:cs="Arial"/>
                <w:sz w:val="21"/>
                <w:szCs w:val="21"/>
                <w:lang w:val="id-ID"/>
              </w:rPr>
              <w:t>yang dapat mempengaruhi otorisasi/persetujuan, pemogokan, peristiwa yang berkaitan dengan kehilangan atau kerusakan aset atau yang menimbulkan kompensasi, pemberitahuan</w:t>
            </w:r>
            <w:r>
              <w:rPr>
                <w:rFonts w:ascii="Arial" w:hAnsi="Arial" w:cs="Arial"/>
                <w:sz w:val="21"/>
                <w:szCs w:val="21"/>
                <w:lang w:val="en-US"/>
              </w:rPr>
              <w:t>-</w:t>
            </w:r>
            <w:r>
              <w:rPr>
                <w:rFonts w:ascii="Arial" w:hAnsi="Arial" w:cs="Arial"/>
                <w:sz w:val="21"/>
                <w:szCs w:val="21"/>
                <w:lang w:val="id-ID"/>
              </w:rPr>
              <w:t>pemberitahuan</w:t>
            </w:r>
            <w:r>
              <w:rPr>
                <w:rFonts w:ascii="Arial" w:hAnsi="Arial" w:cs="Arial"/>
                <w:sz w:val="21"/>
                <w:szCs w:val="21"/>
                <w:lang w:val="en-US"/>
              </w:rPr>
              <w:t xml:space="preserve"> terkait</w:t>
            </w:r>
            <w:r>
              <w:rPr>
                <w:rFonts w:ascii="Arial" w:hAnsi="Arial" w:cs="Arial"/>
                <w:sz w:val="21"/>
                <w:szCs w:val="21"/>
                <w:lang w:val="id-ID"/>
              </w:rPr>
              <w:t xml:space="preserve"> lingkungan dan sosial apa pun</w:t>
            </w:r>
            <w:r>
              <w:rPr>
                <w:rFonts w:ascii="Arial" w:hAnsi="Arial" w:cs="Arial"/>
                <w:sz w:val="21"/>
                <w:szCs w:val="21"/>
                <w:vertAlign w:val="superscript"/>
                <w:lang w:val="id-ID"/>
              </w:rPr>
              <w:footnoteReference w:id="136"/>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 xml:space="preserve">[pemberitahuan tentang perubahan </w:t>
            </w:r>
            <w:r>
              <w:rPr>
                <w:rFonts w:ascii="Arial" w:hAnsi="Arial" w:cs="Arial"/>
                <w:sz w:val="21"/>
                <w:szCs w:val="21"/>
                <w:lang w:val="en-US"/>
              </w:rPr>
              <w:t xml:space="preserve">merugikan yang </w:t>
            </w:r>
            <w:r>
              <w:rPr>
                <w:rFonts w:ascii="Arial" w:hAnsi="Arial" w:cs="Arial"/>
                <w:sz w:val="21"/>
                <w:szCs w:val="21"/>
                <w:lang w:val="id-ID"/>
              </w:rPr>
              <w:t>material</w:t>
            </w:r>
            <w:r>
              <w:rPr>
                <w:rStyle w:val="25"/>
                <w:rFonts w:ascii="Arial" w:hAnsi="Arial" w:cs="Arial"/>
                <w:sz w:val="21"/>
                <w:szCs w:val="21"/>
                <w:lang w:val="id-ID"/>
              </w:rPr>
              <w:t xml:space="preserve"> </w:t>
            </w:r>
            <w:r>
              <w:rPr>
                <w:rFonts w:ascii="Arial" w:hAnsi="Arial" w:cs="Arial"/>
                <w:sz w:val="21"/>
                <w:szCs w:val="21"/>
                <w:lang w:val="id-ID"/>
              </w:rPr>
              <w:t>apa pun</w:t>
            </w:r>
            <w:r>
              <w:rPr>
                <w:rStyle w:val="25"/>
                <w:rFonts w:ascii="Arial" w:hAnsi="Arial" w:cs="Arial"/>
                <w:sz w:val="21"/>
                <w:szCs w:val="21"/>
                <w:lang w:val="id-ID"/>
              </w:rPr>
              <w:footnoteReference w:id="137"/>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en-US"/>
              </w:rPr>
              <w:t xml:space="preserve">[pemberitahuan tentang perubahan apa pun </w:t>
            </w:r>
            <w:r>
              <w:rPr>
                <w:rFonts w:ascii="Arial" w:hAnsi="Arial" w:cs="Arial"/>
                <w:sz w:val="21"/>
                <w:szCs w:val="21"/>
                <w:lang w:val="id-ID"/>
              </w:rPr>
              <w:t>pada</w:t>
            </w:r>
            <w:r>
              <w:rPr>
                <w:rFonts w:ascii="Arial" w:hAnsi="Arial" w:cs="Arial"/>
                <w:sz w:val="21"/>
                <w:szCs w:val="21"/>
                <w:lang w:val="en-US"/>
              </w:rPr>
              <w:t xml:space="preserve"> kepentingan [Pemegang Saham / Sponsor] di Perusahaan Proyek];</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[atas</w:t>
            </w:r>
            <w:r>
              <w:rPr>
                <w:rFonts w:ascii="Arial" w:hAnsi="Arial" w:eastAsia="Times New Roman" w:cs="Arial"/>
                <w:sz w:val="21"/>
                <w:szCs w:val="21"/>
                <w:lang w:val="id-ID"/>
              </w:rPr>
              <w:t xml:space="preserve"> permintaan (dan dengan pemberitahuan yang wajar), mengizinkan Para Pihak Pembiayaan (dan </w:t>
            </w:r>
            <w:r>
              <w:rPr>
                <w:rFonts w:ascii="Arial" w:hAnsi="Arial" w:eastAsia="Times New Roman" w:cs="Arial"/>
                <w:sz w:val="21"/>
                <w:szCs w:val="21"/>
                <w:lang w:val="en-US"/>
              </w:rPr>
              <w:t>penasihat-</w:t>
            </w:r>
            <w:r>
              <w:rPr>
                <w:rFonts w:ascii="Arial" w:hAnsi="Arial" w:eastAsia="Times New Roman" w:cs="Arial"/>
                <w:sz w:val="21"/>
                <w:szCs w:val="21"/>
                <w:lang w:val="id-ID"/>
              </w:rPr>
              <w:t xml:space="preserve">penasihat </w:t>
            </w:r>
            <w:r>
              <w:rPr>
                <w:rFonts w:ascii="Arial" w:hAnsi="Arial" w:eastAsia="Times New Roman" w:cs="Arial"/>
                <w:sz w:val="21"/>
                <w:szCs w:val="21"/>
                <w:lang w:val="en-US"/>
              </w:rPr>
              <w:t>dan wakil-</w:t>
            </w:r>
            <w:r>
              <w:rPr>
                <w:rFonts w:ascii="Arial" w:hAnsi="Arial" w:eastAsia="Times New Roman" w:cs="Arial"/>
                <w:sz w:val="21"/>
                <w:szCs w:val="21"/>
                <w:lang w:val="id-ID"/>
              </w:rPr>
              <w:t xml:space="preserve">wakil mereka) untuk mengunjungi dan memeriksa lokasi dan </w:t>
            </w:r>
            <w:r>
              <w:rPr>
                <w:rFonts w:ascii="Arial" w:hAnsi="Arial" w:eastAsia="Times New Roman" w:cs="Arial"/>
                <w:sz w:val="21"/>
                <w:szCs w:val="21"/>
                <w:lang w:val="en-US"/>
              </w:rPr>
              <w:t>tempat</w:t>
            </w:r>
            <w:r>
              <w:rPr>
                <w:rFonts w:ascii="Arial" w:hAnsi="Arial" w:eastAsia="Times New Roman" w:cs="Arial"/>
                <w:sz w:val="21"/>
                <w:szCs w:val="21"/>
                <w:lang w:val="id-ID"/>
              </w:rPr>
              <w:t xml:space="preserve"> Proyek dan memberikan akses kepada </w:t>
            </w:r>
            <w:r>
              <w:rPr>
                <w:rFonts w:ascii="Arial" w:hAnsi="Arial" w:eastAsia="Times New Roman" w:cs="Arial"/>
                <w:sz w:val="21"/>
                <w:szCs w:val="21"/>
                <w:lang w:val="en-US"/>
              </w:rPr>
              <w:t xml:space="preserve">para </w:t>
            </w:r>
            <w:r>
              <w:rPr>
                <w:rFonts w:ascii="Arial" w:hAnsi="Arial" w:eastAsia="Times New Roman" w:cs="Arial"/>
                <w:sz w:val="21"/>
                <w:szCs w:val="21"/>
                <w:lang w:val="id-ID"/>
              </w:rPr>
              <w:t xml:space="preserve">karyawan, agen dan pekerja </w:t>
            </w:r>
            <w:r>
              <w:rPr>
                <w:rFonts w:ascii="Arial" w:hAnsi="Arial" w:eastAsia="Times New Roman" w:cs="Arial"/>
                <w:sz w:val="21"/>
                <w:szCs w:val="21"/>
                <w:lang w:val="en-US"/>
              </w:rPr>
              <w:t>Debitur</w:t>
            </w:r>
            <w:r>
              <w:rPr>
                <w:rFonts w:ascii="Arial" w:hAnsi="Arial" w:eastAsia="Times New Roman" w:cs="Arial"/>
                <w:sz w:val="21"/>
                <w:szCs w:val="21"/>
                <w:lang w:val="id-ID"/>
              </w:rPr>
              <w:t xml:space="preserve"> hingga (sebelum Tanggal Penyelesaian Proyek) [●] kesempatan</w:t>
            </w:r>
            <w:r>
              <w:rPr>
                <w:rFonts w:ascii="Arial" w:hAnsi="Arial" w:eastAsia="Times New Roman" w:cs="Arial"/>
                <w:sz w:val="21"/>
                <w:szCs w:val="21"/>
                <w:lang w:val="en-US"/>
              </w:rPr>
              <w:t xml:space="preserve"> </w:t>
            </w:r>
            <w:r>
              <w:rPr>
                <w:rFonts w:ascii="Arial" w:hAnsi="Arial" w:eastAsia="Times New Roman" w:cs="Arial"/>
                <w:sz w:val="21"/>
                <w:szCs w:val="21"/>
                <w:lang w:val="id-ID"/>
              </w:rPr>
              <w:t xml:space="preserve">(-kesempatan) dan (setelah Tanggal Penyelesaian Proyek) [●] kesempatan(-kesempatan) per tahun kalender dan ketika suatu </w:t>
            </w:r>
            <w:r>
              <w:rPr>
                <w:rFonts w:ascii="Arial" w:hAnsi="Arial" w:eastAsia="Times New Roman" w:cs="Arial"/>
                <w:sz w:val="21"/>
                <w:szCs w:val="21"/>
                <w:lang w:val="en-US"/>
              </w:rPr>
              <w:t>Cedera Janji</w:t>
            </w:r>
            <w:r>
              <w:rPr>
                <w:rFonts w:ascii="Arial" w:hAnsi="Arial" w:eastAsia="Times New Roman" w:cs="Arial"/>
                <w:sz w:val="21"/>
                <w:szCs w:val="21"/>
                <w:lang w:val="id-ID"/>
              </w:rPr>
              <w:t xml:space="preserve"> berlanjut</w:t>
            </w:r>
            <w:r>
              <w:rPr>
                <w:rFonts w:ascii="Arial" w:hAnsi="Arial" w:cs="Arial"/>
                <w:sz w:val="21"/>
                <w:szCs w:val="21"/>
                <w:lang w:val="id-ID"/>
              </w:rPr>
              <w:t xml:space="preserve">];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informasi lain mengenai kondisi keuangan, bisnis dan operasi</w:t>
            </w:r>
            <w:r>
              <w:rPr>
                <w:rFonts w:ascii="Arial" w:hAnsi="Arial" w:cs="Arial"/>
                <w:sz w:val="21"/>
                <w:szCs w:val="21"/>
                <w:lang w:val="en-US"/>
              </w:rPr>
              <w:t>onal</w:t>
            </w:r>
            <w:r>
              <w:rPr>
                <w:rFonts w:ascii="Arial" w:hAnsi="Arial" w:cs="Arial"/>
                <w:sz w:val="21"/>
                <w:szCs w:val="21"/>
                <w:lang w:val="id-ID"/>
              </w:rPr>
              <w:t xml:space="preserve"> Perusahaan Proyek [,</w:t>
            </w:r>
            <w:r>
              <w:rPr>
                <w:rFonts w:ascii="Arial" w:hAnsi="Arial" w:cs="Arial"/>
                <w:sz w:val="21"/>
                <w:szCs w:val="21"/>
                <w:lang w:val="en-US"/>
              </w:rPr>
              <w:t xml:space="preserve"> Para </w:t>
            </w:r>
            <w:r>
              <w:rPr>
                <w:rFonts w:ascii="Arial" w:hAnsi="Arial" w:cs="Arial"/>
                <w:sz w:val="21"/>
                <w:szCs w:val="21"/>
                <w:lang w:val="id-ID"/>
              </w:rPr>
              <w:t>Pemegang Saham] [dan] [Sponsor-Sponsor] atau Proyek sebagaimana diminta oleh Pihak Pembiayaan secara wajar;</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 xml:space="preserve">atas permintaan, </w:t>
            </w:r>
            <w:r>
              <w:rPr>
                <w:rFonts w:ascii="Arial" w:hAnsi="Arial" w:cs="Arial"/>
                <w:sz w:val="21"/>
                <w:szCs w:val="21"/>
                <w:lang w:val="en-US"/>
              </w:rPr>
              <w:t xml:space="preserve">surat keterangan </w:t>
            </w:r>
            <w:r>
              <w:rPr>
                <w:rFonts w:ascii="Arial" w:hAnsi="Arial" w:cs="Arial"/>
                <w:sz w:val="21"/>
                <w:szCs w:val="21"/>
                <w:lang w:val="id-ID"/>
              </w:rPr>
              <w:t xml:space="preserve">direktur bahwa tidak ada </w:t>
            </w:r>
            <w:r>
              <w:rPr>
                <w:rFonts w:ascii="Arial" w:hAnsi="Arial" w:cs="Arial"/>
                <w:sz w:val="21"/>
                <w:szCs w:val="21"/>
                <w:lang w:val="en-US"/>
              </w:rPr>
              <w:t>Cedera Janji</w:t>
            </w:r>
            <w:r>
              <w:rPr>
                <w:rFonts w:ascii="Arial" w:hAnsi="Arial" w:cs="Arial"/>
                <w:sz w:val="21"/>
                <w:szCs w:val="21"/>
                <w:lang w:val="id-ID"/>
              </w:rPr>
              <w:t xml:space="preserve"> yang berlanjut;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pemberitahuan</w:t>
            </w:r>
            <w:r>
              <w:rPr>
                <w:rFonts w:ascii="Arial" w:hAnsi="Arial" w:cs="Arial"/>
                <w:sz w:val="21"/>
                <w:szCs w:val="21"/>
                <w:lang w:val="en-US"/>
              </w:rPr>
              <w:t xml:space="preserve"> perubahan penandatangan yang berwenang dari Perusahaan Proyek[, Para Pemegang Saham] [dan] [Sponsor-Sponsor] yang ditandatangani oleh direktur atau sekretaris perusahaan dari entitas tersebut dan berisi contoh tanda tangan dari setiap penandatangan baru yang berwenang; dan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47"/>
              <w:widowControl w:val="0"/>
              <w:numPr>
                <w:ilvl w:val="0"/>
                <w:numId w:val="41"/>
              </w:numPr>
              <w:spacing w:after="120"/>
              <w:ind w:hanging="720"/>
              <w:contextualSpacing w:val="0"/>
              <w:rPr>
                <w:rFonts w:ascii="Arial" w:hAnsi="Arial" w:cs="Arial"/>
                <w:sz w:val="21"/>
                <w:szCs w:val="21"/>
                <w:lang w:val="id-ID"/>
              </w:rPr>
            </w:pPr>
            <w:r>
              <w:rPr>
                <w:rFonts w:ascii="Arial" w:hAnsi="Arial" w:cs="Arial"/>
                <w:sz w:val="21"/>
                <w:szCs w:val="21"/>
                <w:lang w:val="id-ID"/>
              </w:rPr>
              <w:t>semua dokumen yang dikirimkan oleh Perusahaan Proyek kepada para pemegang sahamnya (atau golongan manapun dari mereka) atau para krediturnya secara umum.</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widowControl w:val="0"/>
              <w:spacing w:after="120"/>
              <w:rPr>
                <w:rFonts w:ascii="Arial" w:hAnsi="Arial" w:eastAsia="Times New Roman" w:cs="Arial"/>
                <w:sz w:val="21"/>
                <w:szCs w:val="21"/>
                <w:lang w:val="id-ID"/>
              </w:rPr>
            </w:pPr>
            <w:r>
              <w:rPr>
                <w:rFonts w:ascii="Arial" w:hAnsi="Arial" w:eastAsia="Times New Roman" w:cs="Arial"/>
                <w:sz w:val="21"/>
                <w:szCs w:val="21"/>
                <w:lang w:val="id-ID"/>
              </w:rPr>
              <w:t>Perusahaan Proyek dan masing-masing [</w:t>
            </w:r>
            <w:r>
              <w:rPr>
                <w:rFonts w:ascii="Arial" w:hAnsi="Arial" w:eastAsia="Times New Roman" w:cs="Arial"/>
                <w:sz w:val="21"/>
                <w:szCs w:val="21"/>
                <w:lang w:val="en-US"/>
              </w:rPr>
              <w:t xml:space="preserve">Para </w:t>
            </w:r>
            <w:r>
              <w:rPr>
                <w:rFonts w:ascii="Arial" w:hAnsi="Arial" w:eastAsia="Times New Roman" w:cs="Arial"/>
                <w:sz w:val="21"/>
                <w:szCs w:val="21"/>
                <w:lang w:val="id-ID"/>
              </w:rPr>
              <w:t>Pemegang Saham][Sponsor</w:t>
            </w:r>
            <w:r>
              <w:rPr>
                <w:rFonts w:ascii="Arial" w:hAnsi="Arial" w:eastAsia="Times New Roman" w:cs="Arial"/>
                <w:sz w:val="21"/>
                <w:szCs w:val="21"/>
                <w:lang w:val="en-US"/>
              </w:rPr>
              <w:t>-Sponsor</w:t>
            </w:r>
            <w:r>
              <w:rPr>
                <w:rFonts w:ascii="Arial" w:hAnsi="Arial" w:eastAsia="Times New Roman" w:cs="Arial"/>
                <w:sz w:val="21"/>
                <w:szCs w:val="21"/>
                <w:lang w:val="id-ID"/>
              </w:rPr>
              <w:t xml:space="preserve">] harus segera atas permintaan Agen </w:t>
            </w:r>
            <w:r>
              <w:rPr>
                <w:rFonts w:ascii="Arial" w:hAnsi="Arial" w:eastAsia="Times New Roman" w:cs="Arial"/>
                <w:sz w:val="21"/>
                <w:szCs w:val="21"/>
                <w:lang w:val="en-US"/>
              </w:rPr>
              <w:t>Antarkreditur</w:t>
            </w:r>
            <w:r>
              <w:rPr>
                <w:rFonts w:ascii="Arial" w:hAnsi="Arial" w:eastAsia="Times New Roman" w:cs="Arial"/>
                <w:sz w:val="21"/>
                <w:szCs w:val="21"/>
                <w:lang w:val="id-ID"/>
              </w:rPr>
              <w:t xml:space="preserve"> atau Pihak Pembiayaan mana pun menyediakan dokumen</w:t>
            </w:r>
            <w:r>
              <w:rPr>
                <w:rFonts w:ascii="Arial" w:hAnsi="Arial" w:eastAsia="Times New Roman" w:cs="Arial"/>
                <w:sz w:val="21"/>
                <w:szCs w:val="21"/>
                <w:lang w:val="en-US"/>
              </w:rPr>
              <w:t>-</w:t>
            </w:r>
            <w:r>
              <w:rPr>
                <w:rFonts w:ascii="Arial" w:hAnsi="Arial" w:eastAsia="Times New Roman" w:cs="Arial"/>
                <w:sz w:val="21"/>
                <w:szCs w:val="21"/>
                <w:lang w:val="id-ID"/>
              </w:rPr>
              <w:t>dokumen</w:t>
            </w:r>
            <w:r>
              <w:rPr>
                <w:rFonts w:ascii="Arial" w:hAnsi="Arial" w:eastAsia="Times New Roman" w:cs="Arial"/>
                <w:sz w:val="21"/>
                <w:szCs w:val="21"/>
                <w:lang w:val="en-US"/>
              </w:rPr>
              <w:t xml:space="preserve"> </w:t>
            </w:r>
            <w:r>
              <w:rPr>
                <w:rFonts w:ascii="Arial" w:hAnsi="Arial" w:eastAsia="Times New Roman" w:cs="Arial"/>
                <w:sz w:val="21"/>
                <w:szCs w:val="21"/>
                <w:lang w:val="id-ID"/>
              </w:rPr>
              <w:t xml:space="preserve">tersebut dan bukti lain sebagaimana diminta secara wajar oleh Agen </w:t>
            </w:r>
            <w:r>
              <w:rPr>
                <w:rFonts w:ascii="Arial" w:hAnsi="Arial" w:eastAsia="Times New Roman" w:cs="Arial"/>
                <w:sz w:val="21"/>
                <w:szCs w:val="21"/>
                <w:lang w:val="en-US"/>
              </w:rPr>
              <w:t>Antarkreditur</w:t>
            </w:r>
            <w:r>
              <w:rPr>
                <w:rFonts w:ascii="Arial" w:hAnsi="Arial" w:eastAsia="Times New Roman" w:cs="Arial"/>
                <w:sz w:val="21"/>
                <w:szCs w:val="21"/>
                <w:lang w:val="id-ID"/>
              </w:rPr>
              <w:t xml:space="preserve"> (untuk dirinya sendiri dan atas nama Pihak Pembiayaan lainnya) atau Pihak Pembiayaan mana pun (atau calon Pihak Pembiayaan baru) agar Agen </w:t>
            </w:r>
            <w:r>
              <w:rPr>
                <w:rFonts w:ascii="Arial" w:hAnsi="Arial" w:eastAsia="Times New Roman" w:cs="Arial"/>
                <w:sz w:val="21"/>
                <w:szCs w:val="21"/>
                <w:lang w:val="en-US"/>
              </w:rPr>
              <w:t>Antarkreditur</w:t>
            </w:r>
            <w:r>
              <w:rPr>
                <w:rFonts w:ascii="Arial" w:hAnsi="Arial" w:eastAsia="Times New Roman" w:cs="Arial"/>
                <w:sz w:val="21"/>
                <w:szCs w:val="21"/>
                <w:lang w:val="id-ID"/>
              </w:rPr>
              <w:t xml:space="preserve"> atau Pihak Pembiayaan tersebut (atau calon Pihak Pembiayaan baru) untuk melaksanakan dan puas dengan hasil dari semua pemeriksaan </w:t>
            </w:r>
            <w:r>
              <w:rPr>
                <w:rFonts w:ascii="Arial" w:hAnsi="Arial" w:cs="Arial"/>
                <w:sz w:val="21"/>
                <w:szCs w:val="21"/>
                <w:lang w:val="en-US"/>
              </w:rPr>
              <w:t xml:space="preserve">terkait persyaratan </w:t>
            </w:r>
            <w:r>
              <w:rPr>
                <w:rFonts w:ascii="Arial" w:hAnsi="Arial" w:eastAsia="Times New Roman" w:cs="Arial"/>
                <w:sz w:val="21"/>
                <w:szCs w:val="21"/>
                <w:lang w:val="id-ID"/>
              </w:rPr>
              <w:t>"kenali pelanggan Anda" atau pemeriksaan lain yang diperlukan sehubungan dengan transaksi</w:t>
            </w:r>
            <w:r>
              <w:rPr>
                <w:rFonts w:ascii="Arial" w:hAnsi="Arial" w:eastAsia="Times New Roman" w:cs="Arial"/>
                <w:sz w:val="21"/>
                <w:szCs w:val="21"/>
                <w:lang w:val="en-US"/>
              </w:rPr>
              <w:t>-</w:t>
            </w:r>
            <w:r>
              <w:rPr>
                <w:rFonts w:ascii="Arial" w:hAnsi="Arial" w:eastAsia="Times New Roman" w:cs="Arial"/>
                <w:sz w:val="21"/>
                <w:szCs w:val="21"/>
                <w:lang w:val="id-ID"/>
              </w:rPr>
              <w:t xml:space="preserve">transaksi yang </w:t>
            </w:r>
            <w:r>
              <w:rPr>
                <w:rFonts w:ascii="Arial" w:hAnsi="Arial" w:eastAsia="Times New Roman" w:cs="Arial"/>
                <w:sz w:val="21"/>
                <w:szCs w:val="21"/>
                <w:lang w:val="en-US"/>
              </w:rPr>
              <w:t xml:space="preserve">diatur </w:t>
            </w:r>
            <w:r>
              <w:rPr>
                <w:rFonts w:ascii="Arial" w:hAnsi="Arial" w:eastAsia="Times New Roman" w:cs="Arial"/>
                <w:sz w:val="21"/>
                <w:szCs w:val="21"/>
                <w:lang w:val="id-ID"/>
              </w:rPr>
              <w:t xml:space="preserve">dalam </w:t>
            </w:r>
            <w:r>
              <w:rPr>
                <w:rFonts w:ascii="Arial" w:hAnsi="Arial" w:eastAsia="Times New Roman" w:cs="Arial"/>
                <w:sz w:val="21"/>
                <w:szCs w:val="21"/>
                <w:lang w:val="en-US"/>
              </w:rPr>
              <w:t>Dokumen-dokumen Pembiayaan</w:t>
            </w:r>
            <w:r>
              <w:rPr>
                <w:rFonts w:ascii="Arial" w:hAnsi="Arial" w:eastAsia="Times New Roman"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widowControl w:val="0"/>
              <w:spacing w:after="120"/>
              <w:rPr>
                <w:rFonts w:ascii="Arial" w:hAnsi="Arial" w:eastAsia="Times New Roman" w:cs="Arial"/>
                <w:sz w:val="21"/>
                <w:szCs w:val="21"/>
                <w:lang w:val="id-ID"/>
              </w:rPr>
            </w:pPr>
            <w:r>
              <w:rPr>
                <w:rFonts w:ascii="Arial" w:hAnsi="Arial" w:cs="Arial"/>
                <w:sz w:val="21"/>
                <w:szCs w:val="21"/>
                <w:lang w:val="id-ID"/>
              </w:rPr>
              <w:t xml:space="preserve">[Perusahaan Proyek dapat memenuhi kewajibannya untuk memberikan informasi kepada </w:t>
            </w:r>
            <w:r>
              <w:rPr>
                <w:rFonts w:ascii="Arial" w:hAnsi="Arial" w:cs="Arial"/>
                <w:sz w:val="21"/>
                <w:szCs w:val="21"/>
                <w:lang w:val="en-US"/>
              </w:rPr>
              <w:t xml:space="preserve">Para </w:t>
            </w:r>
            <w:r>
              <w:rPr>
                <w:rFonts w:ascii="Arial" w:hAnsi="Arial" w:cs="Arial"/>
                <w:sz w:val="21"/>
                <w:szCs w:val="21"/>
                <w:lang w:val="id-ID"/>
              </w:rPr>
              <w:t xml:space="preserve">Pihak Pembiayaan yang setuju dengan </w:t>
            </w:r>
            <w:r>
              <w:rPr>
                <w:rFonts w:ascii="Arial" w:hAnsi="Arial" w:cs="Arial"/>
                <w:sz w:val="21"/>
                <w:szCs w:val="21"/>
                <w:lang w:val="en-US"/>
              </w:rPr>
              <w:t>publikasi</w:t>
            </w:r>
            <w:r>
              <w:rPr>
                <w:rFonts w:ascii="Arial" w:hAnsi="Arial" w:cs="Arial"/>
                <w:sz w:val="21"/>
                <w:szCs w:val="21"/>
                <w:lang w:val="id-ID"/>
              </w:rPr>
              <w:t xml:space="preserve"> informasi tersebut ke suatu situs web.]</w:t>
            </w:r>
          </w:p>
        </w:tc>
      </w:tr>
      <w:tr>
        <w:tblPrEx>
          <w:tblCellMar>
            <w:top w:w="0" w:type="dxa"/>
            <w:left w:w="108" w:type="dxa"/>
            <w:bottom w:w="0" w:type="dxa"/>
            <w:right w:w="108" w:type="dxa"/>
          </w:tblCellMar>
        </w:tblPrEx>
        <w:tc>
          <w:tcPr>
            <w:tcW w:w="3431" w:type="dxa"/>
          </w:tcPr>
          <w:p>
            <w:pPr>
              <w:pStyle w:val="105"/>
              <w:keepNext w:val="0"/>
              <w:widowControl w:val="0"/>
              <w:tabs>
                <w:tab w:val="clear" w:pos="720"/>
              </w:tabs>
              <w:suppressAutoHyphens w:val="0"/>
              <w:spacing w:after="120"/>
              <w:rPr>
                <w:rFonts w:ascii="Arial" w:hAnsi="Arial" w:cs="Arial"/>
                <w:b w:val="0"/>
                <w:sz w:val="21"/>
                <w:szCs w:val="21"/>
                <w:lang w:val="id-ID"/>
              </w:rPr>
            </w:pPr>
            <w:bookmarkStart w:id="197" w:name="_Toc74557563"/>
            <w:bookmarkStart w:id="198" w:name="_Toc74860709"/>
            <w:r>
              <w:rPr>
                <w:rFonts w:ascii="Arial" w:hAnsi="Arial" w:cs="Arial"/>
                <w:sz w:val="21"/>
                <w:szCs w:val="21"/>
                <w:lang w:val="en-US"/>
              </w:rPr>
              <w:t>Janji-janji secara Umum</w:t>
            </w:r>
            <w:r>
              <w:rPr>
                <w:rFonts w:ascii="Arial" w:hAnsi="Arial" w:cs="Arial"/>
                <w:sz w:val="21"/>
                <w:szCs w:val="21"/>
                <w:lang w:val="id-ID"/>
              </w:rPr>
              <w:t>:</w:t>
            </w:r>
            <w:bookmarkEnd w:id="197"/>
            <w:bookmarkEnd w:id="198"/>
            <w:r>
              <w:rPr>
                <w:rStyle w:val="25"/>
                <w:rFonts w:ascii="Arial" w:hAnsi="Arial" w:cs="Arial"/>
                <w:sz w:val="21"/>
                <w:szCs w:val="21"/>
                <w:lang w:val="id-ID"/>
              </w:rPr>
              <w:t xml:space="preserve"> </w:t>
            </w:r>
          </w:p>
        </w:tc>
        <w:tc>
          <w:tcPr>
            <w:tcW w:w="5236" w:type="dxa"/>
          </w:tcPr>
          <w:p>
            <w:pPr>
              <w:widowControl w:val="0"/>
              <w:spacing w:after="120"/>
              <w:rPr>
                <w:rFonts w:ascii="Arial" w:hAnsi="Arial" w:eastAsia="Times New Roman" w:cs="Arial"/>
                <w:sz w:val="21"/>
                <w:szCs w:val="21"/>
                <w:lang w:val="id-ID"/>
              </w:rPr>
            </w:pPr>
            <w:r>
              <w:rPr>
                <w:rFonts w:ascii="Arial" w:hAnsi="Arial" w:cs="Arial"/>
                <w:sz w:val="21"/>
                <w:szCs w:val="21"/>
                <w:lang w:val="id-ID"/>
              </w:rPr>
              <w:t xml:space="preserve">Janji-janji yang biasa untuk fasilitas seperti ini (tunduk pada </w:t>
            </w:r>
            <w:r>
              <w:rPr>
                <w:rFonts w:ascii="Arial" w:hAnsi="Arial" w:cs="Arial"/>
                <w:sz w:val="21"/>
                <w:szCs w:val="21"/>
                <w:lang w:val="en-US"/>
              </w:rPr>
              <w:t xml:space="preserve">sifat </w:t>
            </w:r>
            <w:r>
              <w:rPr>
                <w:rFonts w:ascii="Arial" w:hAnsi="Arial" w:cs="Arial"/>
                <w:sz w:val="21"/>
                <w:szCs w:val="21"/>
                <w:lang w:val="id-ID"/>
              </w:rPr>
              <w:t>material</w:t>
            </w:r>
            <w:r>
              <w:rPr>
                <w:rFonts w:ascii="Arial" w:hAnsi="Arial" w:cs="Arial"/>
                <w:sz w:val="21"/>
                <w:szCs w:val="21"/>
                <w:lang w:val="en-US"/>
              </w:rPr>
              <w:t xml:space="preserve"> </w:t>
            </w:r>
            <w:r>
              <w:rPr>
                <w:rFonts w:ascii="Arial" w:hAnsi="Arial" w:cs="Arial"/>
                <w:sz w:val="21"/>
                <w:szCs w:val="21"/>
                <w:lang w:val="id-ID"/>
              </w:rPr>
              <w:t>atau kualifikasi</w:t>
            </w:r>
            <w:r>
              <w:rPr>
                <w:rFonts w:ascii="Arial" w:hAnsi="Arial" w:cs="Arial"/>
                <w:sz w:val="21"/>
                <w:szCs w:val="21"/>
                <w:lang w:val="en-US"/>
              </w:rPr>
              <w:t>-</w:t>
            </w:r>
            <w:r>
              <w:rPr>
                <w:rFonts w:ascii="Arial" w:hAnsi="Arial" w:cs="Arial"/>
                <w:sz w:val="21"/>
                <w:szCs w:val="21"/>
                <w:lang w:val="id-ID"/>
              </w:rPr>
              <w:t>kualifikasi dan pengecualian</w:t>
            </w:r>
            <w:r>
              <w:rPr>
                <w:rFonts w:ascii="Arial" w:hAnsi="Arial" w:cs="Arial"/>
                <w:sz w:val="21"/>
                <w:szCs w:val="21"/>
                <w:lang w:val="en-US"/>
              </w:rPr>
              <w:t>-</w:t>
            </w:r>
            <w:r>
              <w:rPr>
                <w:rFonts w:ascii="Arial" w:hAnsi="Arial" w:cs="Arial"/>
                <w:sz w:val="21"/>
                <w:szCs w:val="21"/>
                <w:lang w:val="id-ID"/>
              </w:rPr>
              <w:t>pengecualian lain</w:t>
            </w:r>
            <w:r>
              <w:rPr>
                <w:rFonts w:ascii="Arial" w:hAnsi="Arial" w:cs="Arial"/>
                <w:sz w:val="21"/>
                <w:szCs w:val="21"/>
                <w:lang w:val="en-US"/>
              </w:rPr>
              <w:t xml:space="preserve"> </w:t>
            </w:r>
            <w:r>
              <w:rPr>
                <w:rFonts w:ascii="Arial" w:hAnsi="Arial" w:cs="Arial"/>
                <w:sz w:val="21"/>
                <w:szCs w:val="21"/>
                <w:lang w:val="id-ID"/>
              </w:rPr>
              <w:t xml:space="preserve">yang mungkin disepakati) akan dimasukkan dalam Perjanjian sehubungan dengan Perusahaan Proyek </w:t>
            </w:r>
            <w:r>
              <w:rPr>
                <w:rFonts w:ascii="Arial" w:hAnsi="Arial" w:cs="Arial"/>
                <w:sz w:val="21"/>
                <w:szCs w:val="21"/>
                <w:lang w:val="en-US"/>
              </w:rPr>
              <w:t>[</w:t>
            </w:r>
            <w:r>
              <w:rPr>
                <w:rFonts w:ascii="Arial" w:hAnsi="Arial" w:cs="Arial"/>
                <w:sz w:val="21"/>
                <w:szCs w:val="21"/>
                <w:lang w:val="id-ID"/>
              </w:rPr>
              <w:t xml:space="preserve">dan, jika berlaku, sehubungan dengan </w:t>
            </w:r>
            <w:r>
              <w:rPr>
                <w:rFonts w:ascii="Arial" w:hAnsi="Arial" w:cs="Arial"/>
                <w:sz w:val="21"/>
                <w:szCs w:val="21"/>
                <w:lang w:val="en-US"/>
              </w:rPr>
              <w:t xml:space="preserve">Para </w:t>
            </w:r>
            <w:r>
              <w:rPr>
                <w:rFonts w:ascii="Arial" w:hAnsi="Arial" w:cs="Arial"/>
                <w:sz w:val="21"/>
                <w:szCs w:val="21"/>
                <w:lang w:val="id-ID"/>
              </w:rPr>
              <w:t>Pemegang Saham/</w:t>
            </w:r>
            <w:r>
              <w:rPr>
                <w:rFonts w:ascii="Arial" w:hAnsi="Arial" w:cs="Arial"/>
                <w:sz w:val="21"/>
                <w:szCs w:val="21"/>
                <w:lang w:val="en-US"/>
              </w:rPr>
              <w:t>Sponsor</w:t>
            </w:r>
            <w:r>
              <w:rPr>
                <w:rFonts w:ascii="Arial" w:hAnsi="Arial" w:cs="Arial"/>
                <w:sz w:val="21"/>
                <w:szCs w:val="21"/>
                <w:lang w:val="id-ID"/>
              </w:rPr>
              <w:t>]</w:t>
            </w:r>
            <w:r>
              <w:rPr>
                <w:rStyle w:val="25"/>
                <w:rFonts w:ascii="Arial" w:hAnsi="Arial" w:cs="Arial"/>
                <w:sz w:val="21"/>
                <w:szCs w:val="21"/>
                <w:lang w:val="id-ID"/>
              </w:rPr>
              <w:footnoteReference w:id="138"/>
            </w:r>
            <w:r>
              <w:rPr>
                <w:rFonts w:ascii="Arial" w:hAnsi="Arial" w:cs="Arial"/>
                <w:sz w:val="21"/>
                <w:szCs w:val="21"/>
                <w:lang w:val="id-ID"/>
              </w:rPr>
              <w:t xml:space="preserve">, termasuk (tanpa </w:t>
            </w:r>
            <w:r>
              <w:rPr>
                <w:rFonts w:ascii="Arial" w:hAnsi="Arial" w:cs="Arial"/>
                <w:sz w:val="21"/>
                <w:szCs w:val="21"/>
                <w:lang w:val="en-US"/>
              </w:rPr>
              <w:t>terbatas pada</w:t>
            </w:r>
            <w:r>
              <w:rPr>
                <w:rFonts w:ascii="Arial" w:hAnsi="Arial" w:cs="Arial"/>
                <w:sz w:val="21"/>
                <w:szCs w:val="21"/>
                <w:lang w:val="id-ID"/>
              </w:rPr>
              <w:t>):</w:t>
            </w:r>
            <w:bookmarkStart w:id="199" w:name="_Ref25739377"/>
            <w:bookmarkStart w:id="200" w:name="_9kP4WSt67349A8BJJEN"/>
            <w:bookmarkStart w:id="201" w:name="_9kR3WTr6734DHBBJJEN"/>
            <w:r>
              <w:rPr>
                <w:rStyle w:val="25"/>
                <w:rFonts w:ascii="Arial" w:hAnsi="Arial" w:cs="Arial"/>
                <w:sz w:val="21"/>
                <w:szCs w:val="21"/>
                <w:lang w:val="id-ID"/>
              </w:rPr>
              <w:footnoteReference w:id="139"/>
            </w:r>
            <w:bookmarkEnd w:id="199"/>
            <w:r>
              <w:rPr>
                <w:rFonts w:ascii="Arial" w:hAnsi="Arial" w:cs="Arial"/>
                <w:sz w:val="21"/>
                <w:szCs w:val="21"/>
                <w:lang w:val="id-ID"/>
              </w:rPr>
              <w:t xml:space="preserve"> </w:t>
            </w:r>
            <w:r>
              <w:rPr>
                <w:rFonts w:ascii="Arial" w:hAnsi="Arial" w:cs="Arial"/>
                <w:sz w:val="21"/>
                <w:szCs w:val="21"/>
                <w:vertAlign w:val="superscript"/>
                <w:lang w:val="id-ID"/>
              </w:rPr>
              <w:footnoteReference w:id="140"/>
            </w:r>
            <w:bookmarkEnd w:id="200"/>
            <w:bookmarkEnd w:id="201"/>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9"/>
              <w:widowControl w:val="0"/>
              <w:suppressAutoHyphens w:val="0"/>
              <w:spacing w:after="120"/>
              <w:rPr>
                <w:rFonts w:ascii="Arial" w:hAnsi="Arial" w:cs="Arial"/>
                <w:b/>
                <w:i/>
                <w:sz w:val="21"/>
                <w:szCs w:val="21"/>
                <w:lang w:val="id-ID"/>
              </w:rPr>
            </w:pPr>
            <w:r>
              <w:rPr>
                <w:rFonts w:ascii="Arial" w:hAnsi="Arial" w:cs="Arial"/>
                <w:b/>
                <w:i/>
                <w:sz w:val="21"/>
                <w:szCs w:val="21"/>
                <w:lang w:val="id-ID"/>
              </w:rPr>
              <w:t xml:space="preserve">Janji-janji </w:t>
            </w:r>
            <w:r>
              <w:rPr>
                <w:rFonts w:ascii="Arial" w:hAnsi="Arial" w:cs="Arial"/>
                <w:b/>
                <w:i/>
                <w:sz w:val="21"/>
                <w:szCs w:val="21"/>
                <w:lang w:val="en-US"/>
              </w:rPr>
              <w:t>untuk melakukan, terkait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pemeliharaan status;</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otorisasi/persetujuan;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kepatuhan terhadap hukum;</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pemeliharaan asuransi (termasuk untuk memastikan pengungkapan penuh);</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kepatuhan lingkungan </w:t>
            </w:r>
            <w:r>
              <w:rPr>
                <w:rStyle w:val="25"/>
                <w:rFonts w:ascii="Arial" w:hAnsi="Arial" w:cs="Arial"/>
                <w:sz w:val="21"/>
                <w:szCs w:val="21"/>
                <w:lang w:val="id-ID"/>
              </w:rPr>
              <w:footnoteReference w:id="141"/>
            </w:r>
            <w:r>
              <w:rPr>
                <w:rFonts w:ascii="Arial" w:hAnsi="Arial" w:cs="Arial"/>
                <w:sz w:val="21"/>
                <w:szCs w:val="21"/>
                <w:lang w:val="id-ID"/>
              </w:rPr>
              <w:t xml:space="preserve"> dan </w:t>
            </w:r>
            <w:r>
              <w:rPr>
                <w:rFonts w:ascii="Arial" w:hAnsi="Arial" w:cs="Arial"/>
                <w:sz w:val="21"/>
                <w:szCs w:val="21"/>
                <w:lang w:val="en-US"/>
              </w:rPr>
              <w:t>gugatan-</w:t>
            </w:r>
            <w:r>
              <w:rPr>
                <w:rFonts w:ascii="Arial" w:hAnsi="Arial" w:cs="Arial"/>
                <w:sz w:val="21"/>
                <w:szCs w:val="21"/>
                <w:lang w:val="id-ID"/>
              </w:rPr>
              <w:t>gugatan lingkungan;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kepatuhan terhadap undang-undang anti-korupsi, undang-undang anti-terorisme dan anti-pencucian uang;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kepatuhan terhadap sanksi-sanksi yang berlaku;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kepatuhan perpajakan dan pemeliharaan domisili pajak;</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pelaksanaan hak (pemeliharaan dan menegakkan hak)</w:t>
            </w:r>
            <w:bookmarkStart w:id="202" w:name="_Ref42208938"/>
            <w:r>
              <w:rPr>
                <w:rFonts w:ascii="Arial" w:hAnsi="Arial" w:cs="Arial"/>
                <w:sz w:val="21"/>
                <w:szCs w:val="21"/>
                <w:lang w:val="id-ID"/>
              </w:rPr>
              <w:footnoteReference w:id="142"/>
            </w:r>
            <w:bookmarkEnd w:id="202"/>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iCs/>
                <w:sz w:val="21"/>
                <w:szCs w:val="21"/>
                <w:lang w:val="id-ID"/>
              </w:rPr>
              <w:t xml:space="preserve">peringkat </w:t>
            </w:r>
            <w:r>
              <w:rPr>
                <w:rFonts w:ascii="Arial" w:hAnsi="Arial" w:cs="Arial"/>
                <w:i/>
                <w:sz w:val="21"/>
                <w:szCs w:val="21"/>
                <w:lang w:val="id-ID"/>
              </w:rPr>
              <w:t>pari passu</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bertindak sesuai dengan </w:t>
            </w:r>
            <w:r>
              <w:rPr>
                <w:rFonts w:ascii="Arial" w:hAnsi="Arial" w:cs="Arial"/>
                <w:sz w:val="21"/>
                <w:szCs w:val="21"/>
                <w:lang w:val="en-US"/>
              </w:rPr>
              <w:t>Diskresi Yang</w:t>
            </w:r>
            <w:r>
              <w:rPr>
                <w:rFonts w:ascii="Arial" w:hAnsi="Arial" w:cs="Arial"/>
                <w:sz w:val="21"/>
                <w:szCs w:val="21"/>
                <w:lang w:val="id-ID"/>
              </w:rPr>
              <w:t xml:space="preserve"> </w:t>
            </w:r>
            <w:r>
              <w:rPr>
                <w:rFonts w:ascii="Arial" w:hAnsi="Arial" w:cs="Arial"/>
                <w:sz w:val="21"/>
                <w:szCs w:val="21"/>
                <w:lang w:val="en-US"/>
              </w:rPr>
              <w:t>Di</w:t>
            </w:r>
            <w:r>
              <w:rPr>
                <w:rFonts w:ascii="Arial" w:hAnsi="Arial" w:cs="Arial"/>
                <w:sz w:val="21"/>
                <w:szCs w:val="21"/>
                <w:lang w:val="id-ID"/>
              </w:rPr>
              <w:t>cadang</w:t>
            </w:r>
            <w:r>
              <w:rPr>
                <w:rFonts w:ascii="Arial" w:hAnsi="Arial" w:cs="Arial"/>
                <w:sz w:val="21"/>
                <w:szCs w:val="21"/>
                <w:lang w:val="en-US"/>
              </w:rPr>
              <w:t>k</w:t>
            </w:r>
            <w:r>
              <w:rPr>
                <w:rFonts w:ascii="Arial" w:hAnsi="Arial" w:cs="Arial"/>
                <w:sz w:val="21"/>
                <w:szCs w:val="21"/>
                <w:lang w:val="id-ID"/>
              </w:rPr>
              <w:t>an</w:t>
            </w:r>
            <w:r>
              <w:rPr>
                <w:rStyle w:val="25"/>
                <w:rFonts w:ascii="Arial" w:hAnsi="Arial" w:cs="Arial"/>
                <w:sz w:val="21"/>
                <w:szCs w:val="21"/>
                <w:lang w:val="id-ID"/>
              </w:rPr>
              <w:t xml:space="preserve"> </w:t>
            </w:r>
            <w:r>
              <w:rPr>
                <w:rStyle w:val="25"/>
                <w:rFonts w:ascii="Arial" w:hAnsi="Arial" w:cs="Arial"/>
                <w:sz w:val="21"/>
                <w:szCs w:val="21"/>
                <w:lang w:val="id-ID"/>
              </w:rPr>
              <w:footnoteReference w:id="143"/>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[pembuatan dan penandatanganan </w:t>
            </w:r>
            <w:r>
              <w:rPr>
                <w:rFonts w:ascii="Arial" w:hAnsi="Arial" w:cs="Arial"/>
                <w:sz w:val="21"/>
                <w:szCs w:val="21"/>
                <w:lang w:val="en-US"/>
              </w:rPr>
              <w:t xml:space="preserve">kesepakatan-kesepakatan </w:t>
            </w:r>
            <w:r>
              <w:rPr>
                <w:rFonts w:ascii="Arial" w:hAnsi="Arial" w:cs="Arial"/>
                <w:sz w:val="21"/>
                <w:szCs w:val="21"/>
                <w:lang w:val="id-ID"/>
              </w:rPr>
              <w:t>lindung nilai];</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desain (jika berlaku), konstruksi/operasi</w:t>
            </w:r>
            <w:r>
              <w:rPr>
                <w:rFonts w:ascii="Arial" w:hAnsi="Arial" w:cs="Arial"/>
                <w:sz w:val="21"/>
                <w:szCs w:val="21"/>
                <w:lang w:val="en-US"/>
              </w:rPr>
              <w:t>onal</w:t>
            </w:r>
            <w:r>
              <w:rPr>
                <w:rFonts w:ascii="Arial" w:hAnsi="Arial" w:cs="Arial"/>
                <w:sz w:val="21"/>
                <w:szCs w:val="21"/>
                <w:lang w:val="id-ID"/>
              </w:rPr>
              <w:t xml:space="preserve"> dan pemeliharaan Proyek sesuai dengan hukum, persetujuan, Dokumen-dokumen Transaksi dan praktik industri yang baik;</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kekayaan intelektual;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akses dan inspeksi;</w:t>
            </w:r>
          </w:p>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pemeliharaan catatan;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pemeliharaan aset, </w:t>
            </w:r>
            <w:r>
              <w:rPr>
                <w:rFonts w:ascii="Arial" w:hAnsi="Arial" w:cs="Arial"/>
                <w:sz w:val="21"/>
                <w:szCs w:val="21"/>
                <w:lang w:val="en-US"/>
              </w:rPr>
              <w:t>properti riil</w:t>
            </w:r>
            <w:r>
              <w:rPr>
                <w:rFonts w:ascii="Arial" w:hAnsi="Arial" w:cs="Arial"/>
                <w:sz w:val="21"/>
                <w:szCs w:val="21"/>
                <w:lang w:val="id-ID"/>
              </w:rPr>
              <w:t xml:space="preserve"> dan kekayaan intelektual;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jaminan lebih lanjut terkait jaminan transaksi;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upaya terbaik untuk mencapai Tanggal Penyelesaian Proyek dengan Tanggal Penyelesaian Proyek yang </w:t>
            </w:r>
            <w:r>
              <w:rPr>
                <w:rFonts w:ascii="Arial" w:hAnsi="Arial" w:cs="Arial"/>
                <w:sz w:val="21"/>
                <w:szCs w:val="21"/>
                <w:lang w:val="en-US"/>
              </w:rPr>
              <w:t>Terjadwal</w:t>
            </w:r>
            <w:r>
              <w:rPr>
                <w:rFonts w:ascii="Arial" w:hAnsi="Arial" w:cs="Arial"/>
                <w:sz w:val="21"/>
                <w:szCs w:val="21"/>
                <w:lang w:val="id-ID"/>
              </w:rPr>
              <w:t xml:space="preserve">;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pengajuan rencana perbaikan sehubungan dengan keterlambatan atau Kekurangan Pendanaan;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bantuan sindikasi; [dan]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2"/>
              </w:numPr>
              <w:tabs>
                <w:tab w:val="clear" w:pos="720"/>
              </w:tabs>
              <w:suppressAutoHyphens w:val="0"/>
              <w:spacing w:after="120"/>
              <w:rPr>
                <w:rFonts w:ascii="Arial" w:hAnsi="Arial" w:cs="Arial"/>
                <w:sz w:val="21"/>
                <w:szCs w:val="21"/>
                <w:lang w:val="id-ID"/>
              </w:rPr>
            </w:pPr>
            <w:r>
              <w:rPr>
                <w:rFonts w:ascii="Arial" w:hAnsi="Arial" w:cs="Arial"/>
                <w:sz w:val="21"/>
                <w:szCs w:val="21"/>
                <w:lang w:val="id-ID"/>
              </w:rPr>
              <w:t>[</w:t>
            </w:r>
            <w:r>
              <w:rPr>
                <w:rFonts w:ascii="Arial" w:hAnsi="Arial" w:cs="Arial"/>
                <w:i/>
                <w:sz w:val="21"/>
                <w:szCs w:val="21"/>
                <w:lang w:val="id-ID"/>
              </w:rPr>
              <w:t>lainnya</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9"/>
              <w:widowControl w:val="0"/>
              <w:suppressAutoHyphens w:val="0"/>
              <w:spacing w:after="120"/>
              <w:rPr>
                <w:rFonts w:ascii="Arial" w:hAnsi="Arial" w:cs="Arial"/>
                <w:b/>
                <w:i/>
                <w:sz w:val="21"/>
                <w:szCs w:val="21"/>
                <w:lang w:val="id-ID"/>
              </w:rPr>
            </w:pPr>
            <w:r>
              <w:rPr>
                <w:rFonts w:ascii="Arial" w:hAnsi="Arial" w:cs="Arial"/>
                <w:b/>
                <w:i/>
                <w:sz w:val="21"/>
                <w:szCs w:val="21"/>
                <w:lang w:val="id-ID"/>
              </w:rPr>
              <w:t xml:space="preserve">Janji-janji </w:t>
            </w:r>
            <w:r>
              <w:rPr>
                <w:rFonts w:ascii="Arial" w:hAnsi="Arial" w:cs="Arial"/>
                <w:b/>
                <w:i/>
                <w:sz w:val="21"/>
                <w:szCs w:val="21"/>
                <w:lang w:val="en-US"/>
              </w:rPr>
              <w:t>untuk tidak melakukan, terkait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tidak ada bisnis lain;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tidak ada kontrak lain</w:t>
            </w:r>
            <w:r>
              <w:rPr>
                <w:rStyle w:val="25"/>
                <w:rFonts w:ascii="Arial" w:hAnsi="Arial" w:cs="Arial"/>
                <w:sz w:val="21"/>
                <w:szCs w:val="21"/>
                <w:lang w:val="id-ID"/>
              </w:rPr>
              <w:t xml:space="preserve"> </w:t>
            </w:r>
            <w:r>
              <w:rPr>
                <w:rStyle w:val="25"/>
                <w:rFonts w:ascii="Arial" w:hAnsi="Arial" w:cs="Arial"/>
                <w:sz w:val="21"/>
                <w:szCs w:val="21"/>
                <w:lang w:val="id-ID"/>
              </w:rPr>
              <w:footnoteReference w:id="144"/>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Cs/>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pembatasan penerbitan saham, penebusan, pengurangan, pembatalan; </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bCs/>
                <w:sz w:val="21"/>
                <w:szCs w:val="21"/>
                <w:lang w:val="id-ID"/>
              </w:rPr>
            </w:pPr>
            <w:r>
              <w:rPr>
                <w:rFonts w:ascii="Arial" w:hAnsi="Arial" w:cs="Arial"/>
                <w:sz w:val="21"/>
                <w:szCs w:val="21"/>
                <w:lang w:val="id-ID"/>
              </w:rPr>
              <w:t xml:space="preserve">janji </w:t>
            </w:r>
            <w:r>
              <w:rPr>
                <w:rFonts w:ascii="Arial" w:hAnsi="Arial" w:cs="Arial"/>
                <w:sz w:val="21"/>
                <w:szCs w:val="21"/>
                <w:lang w:val="en-US"/>
              </w:rPr>
              <w:t xml:space="preserve">untuk tidak melakukan </w:t>
            </w:r>
            <w:r>
              <w:rPr>
                <w:rFonts w:ascii="Arial" w:hAnsi="Arial" w:cs="Arial"/>
                <w:sz w:val="21"/>
                <w:szCs w:val="21"/>
                <w:lang w:val="id-ID"/>
              </w:rPr>
              <w:t>(</w:t>
            </w:r>
            <w:r>
              <w:rPr>
                <w:rFonts w:ascii="Arial" w:hAnsi="Arial" w:cs="Arial"/>
                <w:i/>
                <w:iCs/>
                <w:sz w:val="21"/>
                <w:szCs w:val="21"/>
                <w:lang w:val="id-ID"/>
              </w:rPr>
              <w:t>negative pledge</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pembatasan utang keuangan;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pembatasan pinjaman dan </w:t>
            </w:r>
            <w:r>
              <w:rPr>
                <w:rFonts w:ascii="Arial" w:hAnsi="Arial" w:cs="Arial"/>
                <w:sz w:val="21"/>
                <w:szCs w:val="21"/>
                <w:lang w:val="en-US"/>
              </w:rPr>
              <w:t>penanggungan</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bCs/>
                <w:sz w:val="21"/>
                <w:szCs w:val="21"/>
                <w:lang w:val="id-ID"/>
              </w:rPr>
            </w:pPr>
            <w:r>
              <w:rPr>
                <w:rFonts w:ascii="Arial" w:hAnsi="Arial" w:cs="Arial"/>
                <w:sz w:val="21"/>
                <w:szCs w:val="21"/>
                <w:lang w:val="id-ID"/>
              </w:rPr>
              <w:t>pembatasan pelepasan;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bCs/>
                <w:sz w:val="21"/>
                <w:szCs w:val="21"/>
                <w:lang w:val="id-ID"/>
              </w:rPr>
            </w:pPr>
            <w:r>
              <w:rPr>
                <w:rFonts w:ascii="Arial" w:hAnsi="Arial" w:cs="Arial"/>
                <w:sz w:val="21"/>
                <w:szCs w:val="21"/>
                <w:lang w:val="id-ID"/>
              </w:rPr>
              <w:t>pembatasan penggabungan;</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pembatasan akuisisi;</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 xml:space="preserve">pembatasan perubahan perusahaan (akhir tahun keuangan, dokumen </w:t>
            </w:r>
            <w:r>
              <w:rPr>
                <w:rFonts w:ascii="Arial" w:hAnsi="Arial" w:cs="Arial"/>
                <w:sz w:val="21"/>
                <w:szCs w:val="21"/>
                <w:lang w:val="en-US"/>
              </w:rPr>
              <w:t>pendirian</w:t>
            </w:r>
            <w:r>
              <w:rPr>
                <w:rFonts w:ascii="Arial" w:hAnsi="Arial" w:cs="Arial"/>
                <w:sz w:val="21"/>
                <w:szCs w:val="21"/>
                <w:lang w:val="id-ID"/>
              </w:rPr>
              <w:t>, penerbitan atau perubahan saham);</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[tidak ada amandemen/</w:t>
            </w:r>
            <w:r>
              <w:rPr>
                <w:rFonts w:ascii="Arial" w:hAnsi="Arial" w:cs="Arial"/>
                <w:sz w:val="21"/>
                <w:szCs w:val="21"/>
                <w:lang w:val="en-US"/>
              </w:rPr>
              <w:t>perubahan</w:t>
            </w:r>
            <w:r>
              <w:rPr>
                <w:rFonts w:ascii="Arial" w:hAnsi="Arial" w:cs="Arial"/>
                <w:sz w:val="21"/>
                <w:szCs w:val="21"/>
                <w:lang w:val="id-ID"/>
              </w:rPr>
              <w:t>/pengakhiran kontrak-kontrak]</w:t>
            </w:r>
            <w:r>
              <w:rPr>
                <w:rStyle w:val="25"/>
                <w:rFonts w:ascii="Arial" w:hAnsi="Arial" w:cs="Arial"/>
                <w:sz w:val="21"/>
                <w:szCs w:val="21"/>
                <w:lang w:val="id-ID"/>
              </w:rPr>
              <w:footnoteReference w:id="145"/>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tidak ada pengeluaran yang tidak dianggarkan [melebihi [</w:t>
            </w:r>
            <w:bookmarkStart w:id="203" w:name="_9kML8L6ZWu9A67EI"/>
            <w:bookmarkStart w:id="204" w:name="_9kML8J7ZVw9A67AB"/>
            <w:r>
              <w:rPr>
                <w:rFonts w:ascii="Arial" w:hAnsi="Arial" w:cs="Arial"/>
                <w:sz w:val="21"/>
                <w:szCs w:val="21"/>
                <w:lang w:val="id-ID"/>
              </w:rPr>
              <w:sym w:font="Symbol" w:char="F0B7"/>
            </w:r>
            <w:bookmarkEnd w:id="203"/>
            <w:bookmarkEnd w:id="204"/>
            <w:r>
              <w:rPr>
                <w:rFonts w:ascii="Arial" w:hAnsi="Arial" w:cs="Arial"/>
                <w:sz w:val="21"/>
                <w:szCs w:val="21"/>
                <w:lang w:val="id-ID"/>
              </w:rPr>
              <w:t>]%</w:t>
            </w:r>
            <w:r>
              <w:rPr>
                <w:rFonts w:ascii="Arial" w:hAnsi="Arial" w:cs="Arial"/>
                <w:sz w:val="21"/>
                <w:szCs w:val="21"/>
                <w:lang w:val="en-US"/>
              </w:rPr>
              <w:t xml:space="preserve"> </w:t>
            </w:r>
            <w:r>
              <w:rPr>
                <w:rFonts w:ascii="Arial" w:hAnsi="Arial" w:cs="Arial"/>
                <w:sz w:val="21"/>
                <w:szCs w:val="21"/>
                <w:lang w:val="id-ID"/>
              </w:rPr>
              <w:t>dari anggaran-anggaran terkait];</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tidak ada penangguhan/pengabaian Proyek;</w:t>
            </w:r>
          </w:p>
        </w:tc>
      </w:tr>
      <w:tr>
        <w:tblPrEx>
          <w:tblCellMar>
            <w:top w:w="0" w:type="dxa"/>
            <w:left w:w="108" w:type="dxa"/>
            <w:bottom w:w="0" w:type="dxa"/>
            <w:right w:w="108" w:type="dxa"/>
          </w:tblCellMar>
        </w:tblPrEx>
        <w:tc>
          <w:tcPr>
            <w:tcW w:w="3431" w:type="dxa"/>
          </w:tcPr>
          <w:p>
            <w:pPr>
              <w:widowControl w:val="0"/>
              <w:spacing w:after="12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20"/>
              <w:rPr>
                <w:rFonts w:ascii="Arial" w:hAnsi="Arial" w:cs="Arial"/>
                <w:sz w:val="21"/>
                <w:szCs w:val="21"/>
                <w:lang w:val="id-ID"/>
              </w:rPr>
            </w:pPr>
            <w:r>
              <w:rPr>
                <w:rFonts w:ascii="Arial" w:hAnsi="Arial" w:cs="Arial"/>
                <w:sz w:val="21"/>
                <w:szCs w:val="21"/>
                <w:lang w:val="id-ID"/>
              </w:rPr>
              <w:t>[tidak ada pengesampingan/penyelesaian/</w:t>
            </w:r>
            <w:r>
              <w:rPr>
                <w:rFonts w:ascii="Arial" w:hAnsi="Arial" w:cs="Arial"/>
                <w:sz w:val="21"/>
                <w:szCs w:val="21"/>
                <w:lang w:val="en-US"/>
              </w:rPr>
              <w:t xml:space="preserve"> </w:t>
            </w:r>
            <w:r>
              <w:rPr>
                <w:rFonts w:ascii="Arial" w:hAnsi="Arial" w:cs="Arial"/>
                <w:sz w:val="21"/>
                <w:szCs w:val="21"/>
                <w:lang w:val="id-ID"/>
              </w:rPr>
              <w:t xml:space="preserve">kompromi </w:t>
            </w:r>
            <w:r>
              <w:rPr>
                <w:rFonts w:ascii="Arial" w:hAnsi="Arial" w:cs="Arial"/>
                <w:sz w:val="21"/>
                <w:szCs w:val="21"/>
                <w:lang w:val="en-US"/>
              </w:rPr>
              <w:t xml:space="preserve">gugatan </w:t>
            </w:r>
            <w:r>
              <w:rPr>
                <w:rFonts w:ascii="Arial" w:hAnsi="Arial" w:cs="Arial"/>
                <w:sz w:val="21"/>
                <w:szCs w:val="21"/>
                <w:lang w:val="id-ID"/>
              </w:rPr>
              <w:t>di atas ambang batas tertentu]</w:t>
            </w:r>
            <w:r>
              <w:rPr>
                <w:rStyle w:val="25"/>
                <w:rFonts w:ascii="Arial" w:hAnsi="Arial" w:cs="Arial"/>
                <w:sz w:val="21"/>
                <w:szCs w:val="21"/>
                <w:lang w:val="id-ID"/>
              </w:rPr>
              <w:footnoteReference w:id="146"/>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00"/>
              <w:rPr>
                <w:rFonts w:ascii="Arial" w:hAnsi="Arial" w:cs="Arial"/>
                <w:sz w:val="21"/>
                <w:szCs w:val="21"/>
                <w:lang w:val="id-ID"/>
              </w:rPr>
            </w:pPr>
            <w:r>
              <w:rPr>
                <w:rFonts w:ascii="Arial" w:hAnsi="Arial" w:cs="Arial"/>
                <w:sz w:val="21"/>
                <w:szCs w:val="21"/>
                <w:lang w:val="id-ID"/>
              </w:rPr>
              <w:t>pembatasan pernyataan atau pembayaran dividen atau distribusi atau pembayaran kembali pinjaman pemegang saham</w:t>
            </w:r>
            <w:r>
              <w:rPr>
                <w:rStyle w:val="25"/>
                <w:rFonts w:ascii="Arial" w:hAnsi="Arial" w:cs="Arial"/>
                <w:sz w:val="21"/>
                <w:szCs w:val="21"/>
                <w:lang w:val="id-ID"/>
              </w:rPr>
              <w:footnoteReference w:id="147"/>
            </w:r>
            <w:r>
              <w:rPr>
                <w:rFonts w:ascii="Arial" w:hAnsi="Arial" w:cs="Arial"/>
                <w:sz w:val="21"/>
                <w:szCs w:val="21"/>
                <w:lang w:val="id-ID"/>
              </w:rPr>
              <w:t xml:space="preserve">; </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00"/>
              <w:rPr>
                <w:rFonts w:ascii="Arial" w:hAnsi="Arial" w:cs="Arial"/>
                <w:sz w:val="21"/>
                <w:szCs w:val="21"/>
                <w:lang w:val="id-ID"/>
              </w:rPr>
            </w:pPr>
            <w:r>
              <w:rPr>
                <w:rFonts w:ascii="Arial" w:hAnsi="Arial" w:cs="Arial"/>
                <w:sz w:val="21"/>
                <w:szCs w:val="21"/>
                <w:lang w:val="id-ID"/>
              </w:rPr>
              <w:t xml:space="preserve">pembatasan pembukaan dan pemeliharaan rekening-rekening bank; </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00"/>
              <w:rPr>
                <w:rFonts w:ascii="Arial" w:hAnsi="Arial" w:cs="Arial"/>
                <w:sz w:val="21"/>
                <w:szCs w:val="21"/>
                <w:lang w:val="id-ID"/>
              </w:rPr>
            </w:pPr>
            <w:r>
              <w:rPr>
                <w:rFonts w:ascii="Arial" w:hAnsi="Arial" w:cs="Arial"/>
                <w:sz w:val="21"/>
                <w:szCs w:val="21"/>
                <w:lang w:val="id-ID"/>
              </w:rPr>
              <w:t>pembatasan untuk mengklaim imunitas; [dan]</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57"/>
              <w:widowControl w:val="0"/>
              <w:numPr>
                <w:ilvl w:val="1"/>
                <w:numId w:val="43"/>
              </w:numPr>
              <w:tabs>
                <w:tab w:val="clear" w:pos="720"/>
              </w:tabs>
              <w:suppressAutoHyphens w:val="0"/>
              <w:spacing w:after="100"/>
              <w:rPr>
                <w:rFonts w:ascii="Arial" w:hAnsi="Arial" w:cs="Arial"/>
                <w:sz w:val="21"/>
                <w:szCs w:val="21"/>
                <w:lang w:val="id-ID"/>
              </w:rPr>
            </w:pPr>
            <w:r>
              <w:rPr>
                <w:rFonts w:ascii="Arial" w:hAnsi="Arial" w:cs="Arial"/>
                <w:sz w:val="21"/>
                <w:szCs w:val="21"/>
                <w:lang w:val="id-ID"/>
              </w:rPr>
              <w:t>[</w:t>
            </w:r>
            <w:r>
              <w:rPr>
                <w:rFonts w:ascii="Arial" w:hAnsi="Arial" w:cs="Arial"/>
                <w:i/>
                <w:sz w:val="21"/>
                <w:szCs w:val="21"/>
                <w:lang w:val="id-ID"/>
              </w:rPr>
              <w:t>lainnya</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pStyle w:val="105"/>
              <w:keepNext w:val="0"/>
              <w:widowControl w:val="0"/>
              <w:tabs>
                <w:tab w:val="clear" w:pos="720"/>
              </w:tabs>
              <w:suppressAutoHyphens w:val="0"/>
              <w:spacing w:after="100"/>
              <w:rPr>
                <w:rFonts w:ascii="Arial" w:hAnsi="Arial" w:cs="Arial"/>
                <w:b w:val="0"/>
                <w:sz w:val="21"/>
                <w:szCs w:val="21"/>
                <w:lang w:val="id-ID"/>
              </w:rPr>
            </w:pPr>
            <w:bookmarkStart w:id="205" w:name="_Toc74860710"/>
            <w:bookmarkStart w:id="206" w:name="_Toc74557564"/>
            <w:r>
              <w:rPr>
                <w:rFonts w:ascii="Arial" w:hAnsi="Arial" w:cs="Arial"/>
                <w:sz w:val="21"/>
                <w:szCs w:val="21"/>
                <w:lang w:val="id-ID"/>
              </w:rPr>
              <w:t>Peristiwa</w:t>
            </w:r>
            <w:r>
              <w:rPr>
                <w:rFonts w:ascii="Arial" w:hAnsi="Arial" w:cs="Arial"/>
                <w:sz w:val="21"/>
                <w:szCs w:val="21"/>
                <w:lang w:val="en-US"/>
              </w:rPr>
              <w:t>-peristiwa</w:t>
            </w:r>
            <w:r>
              <w:rPr>
                <w:rFonts w:ascii="Arial" w:hAnsi="Arial" w:cs="Arial"/>
                <w:sz w:val="21"/>
                <w:szCs w:val="21"/>
                <w:lang w:val="id-ID"/>
              </w:rPr>
              <w:t xml:space="preserve"> Cedera janji:</w:t>
            </w:r>
            <w:bookmarkEnd w:id="205"/>
            <w:bookmarkEnd w:id="206"/>
          </w:p>
        </w:tc>
        <w:tc>
          <w:tcPr>
            <w:tcW w:w="5236" w:type="dxa"/>
          </w:tcPr>
          <w:p>
            <w:pPr>
              <w:widowControl w:val="0"/>
              <w:spacing w:after="100"/>
              <w:rPr>
                <w:rFonts w:ascii="Arial" w:hAnsi="Arial" w:eastAsia="Times New Roman" w:cs="Arial"/>
                <w:sz w:val="21"/>
                <w:szCs w:val="21"/>
                <w:vertAlign w:val="superscript"/>
                <w:lang w:val="id-ID"/>
              </w:rPr>
            </w:pPr>
            <w:r>
              <w:rPr>
                <w:rFonts w:ascii="Arial" w:hAnsi="Arial" w:cs="Arial"/>
                <w:sz w:val="21"/>
                <w:szCs w:val="21"/>
                <w:lang w:val="id-ID"/>
              </w:rPr>
              <w:t>Peristiwa</w:t>
            </w:r>
            <w:r>
              <w:rPr>
                <w:rFonts w:ascii="Arial" w:hAnsi="Arial" w:cs="Arial"/>
                <w:sz w:val="21"/>
                <w:szCs w:val="21"/>
                <w:lang w:val="en-US"/>
              </w:rPr>
              <w:t>-peristiwa</w:t>
            </w:r>
            <w:r>
              <w:rPr>
                <w:rFonts w:ascii="Arial" w:hAnsi="Arial" w:cs="Arial"/>
                <w:sz w:val="21"/>
                <w:szCs w:val="21"/>
                <w:lang w:val="id-ID"/>
              </w:rPr>
              <w:t xml:space="preserve"> cedera janji yang </w:t>
            </w:r>
            <w:r>
              <w:rPr>
                <w:rFonts w:ascii="Arial" w:hAnsi="Arial" w:cs="Arial"/>
                <w:sz w:val="21"/>
                <w:szCs w:val="21"/>
                <w:lang w:val="en-US"/>
              </w:rPr>
              <w:t xml:space="preserve">umum </w:t>
            </w:r>
            <w:r>
              <w:rPr>
                <w:rFonts w:ascii="Arial" w:hAnsi="Arial" w:cs="Arial"/>
                <w:sz w:val="21"/>
                <w:szCs w:val="21"/>
                <w:lang w:val="id-ID"/>
              </w:rPr>
              <w:t>untuk fasilitas</w:t>
            </w:r>
            <w:r>
              <w:rPr>
                <w:rFonts w:ascii="Arial" w:hAnsi="Arial" w:cs="Arial"/>
                <w:sz w:val="21"/>
                <w:szCs w:val="21"/>
                <w:lang w:val="en-US"/>
              </w:rPr>
              <w:t>-</w:t>
            </w:r>
            <w:r>
              <w:rPr>
                <w:rFonts w:ascii="Arial" w:hAnsi="Arial" w:cs="Arial"/>
                <w:sz w:val="21"/>
                <w:szCs w:val="21"/>
                <w:lang w:val="id-ID"/>
              </w:rPr>
              <w:t>fasilitas seperti ini akan dimasukkan dalam Perjanjian sehubungan dengan Perusahaan Proyek (</w:t>
            </w:r>
            <w:r>
              <w:rPr>
                <w:rFonts w:ascii="Arial" w:hAnsi="Arial" w:cs="Arial"/>
                <w:sz w:val="21"/>
                <w:szCs w:val="21"/>
                <w:lang w:val="en-US"/>
              </w:rPr>
              <w:t>tunduk pada</w:t>
            </w:r>
            <w:r>
              <w:rPr>
                <w:rFonts w:ascii="Arial" w:hAnsi="Arial" w:cs="Arial"/>
                <w:sz w:val="21"/>
                <w:szCs w:val="21"/>
                <w:lang w:val="id-ID"/>
              </w:rPr>
              <w:t xml:space="preserve"> </w:t>
            </w:r>
            <w:r>
              <w:rPr>
                <w:rFonts w:ascii="Arial" w:hAnsi="Arial" w:cs="Arial"/>
                <w:sz w:val="21"/>
                <w:szCs w:val="21"/>
                <w:lang w:val="en-US"/>
              </w:rPr>
              <w:t xml:space="preserve">sifat </w:t>
            </w:r>
            <w:r>
              <w:rPr>
                <w:rFonts w:ascii="Arial" w:hAnsi="Arial" w:cs="Arial"/>
                <w:sz w:val="21"/>
                <w:szCs w:val="21"/>
                <w:lang w:val="id-ID"/>
              </w:rPr>
              <w:t>material</w:t>
            </w:r>
            <w:r>
              <w:rPr>
                <w:rFonts w:ascii="Arial" w:hAnsi="Arial" w:cs="Arial"/>
                <w:sz w:val="21"/>
                <w:szCs w:val="21"/>
                <w:lang w:val="en-US"/>
              </w:rPr>
              <w:t xml:space="preserve"> </w:t>
            </w:r>
            <w:r>
              <w:rPr>
                <w:rFonts w:ascii="Arial" w:hAnsi="Arial" w:cs="Arial"/>
                <w:sz w:val="21"/>
                <w:szCs w:val="21"/>
                <w:lang w:val="id-ID"/>
              </w:rPr>
              <w:t>atau kualifikasi</w:t>
            </w:r>
            <w:r>
              <w:rPr>
                <w:rFonts w:ascii="Arial" w:hAnsi="Arial" w:cs="Arial"/>
                <w:sz w:val="21"/>
                <w:szCs w:val="21"/>
                <w:lang w:val="en-US"/>
              </w:rPr>
              <w:t>-</w:t>
            </w:r>
            <w:r>
              <w:rPr>
                <w:rFonts w:ascii="Arial" w:hAnsi="Arial" w:cs="Arial"/>
                <w:sz w:val="21"/>
                <w:szCs w:val="21"/>
                <w:lang w:val="id-ID"/>
              </w:rPr>
              <w:t>kualifikasi, masa tenggang dan pengecualian</w:t>
            </w:r>
            <w:r>
              <w:rPr>
                <w:rFonts w:ascii="Arial" w:hAnsi="Arial" w:cs="Arial"/>
                <w:sz w:val="21"/>
                <w:szCs w:val="21"/>
                <w:lang w:val="en-US"/>
              </w:rPr>
              <w:t>-</w:t>
            </w:r>
            <w:r>
              <w:rPr>
                <w:rFonts w:ascii="Arial" w:hAnsi="Arial" w:cs="Arial"/>
                <w:sz w:val="21"/>
                <w:szCs w:val="21"/>
                <w:lang w:val="id-ID"/>
              </w:rPr>
              <w:t>pengecualian lain</w:t>
            </w:r>
            <w:r>
              <w:rPr>
                <w:rFonts w:ascii="Arial" w:hAnsi="Arial" w:cs="Arial"/>
                <w:sz w:val="21"/>
                <w:szCs w:val="21"/>
                <w:lang w:val="en-US"/>
              </w:rPr>
              <w:t xml:space="preserve"> </w:t>
            </w:r>
            <w:r>
              <w:rPr>
                <w:rFonts w:ascii="Arial" w:hAnsi="Arial" w:cs="Arial"/>
                <w:sz w:val="21"/>
                <w:szCs w:val="21"/>
                <w:lang w:val="id-ID"/>
              </w:rPr>
              <w:t xml:space="preserve">yang mungkin disepakati) [(termasuk tanpa </w:t>
            </w:r>
            <w:r>
              <w:rPr>
                <w:rFonts w:ascii="Arial" w:hAnsi="Arial" w:cs="Arial"/>
                <w:sz w:val="21"/>
                <w:szCs w:val="21"/>
                <w:lang w:val="en-US"/>
              </w:rPr>
              <w:t>terbatas pada</w:t>
            </w:r>
            <w:r>
              <w:rPr>
                <w:rFonts w:ascii="Arial" w:hAnsi="Arial" w:cs="Arial"/>
                <w:sz w:val="21"/>
                <w:szCs w:val="21"/>
                <w:lang w:val="id-ID"/>
              </w:rPr>
              <w:t>)]:</w:t>
            </w:r>
            <w:r>
              <w:rPr>
                <w:rStyle w:val="25"/>
                <w:rFonts w:ascii="Arial" w:hAnsi="Arial" w:cs="Arial"/>
                <w:sz w:val="21"/>
                <w:szCs w:val="21"/>
                <w:lang w:val="id-ID"/>
              </w:rPr>
              <w:t xml:space="preserve"> </w:t>
            </w:r>
            <w:bookmarkStart w:id="207" w:name="_9kR3WTr6734DICCJ"/>
            <w:bookmarkStart w:id="208" w:name="_Hlk25739235"/>
            <w:bookmarkStart w:id="209" w:name="_9kP4WSt67349B9CJ"/>
            <w:r>
              <w:rPr>
                <w:rStyle w:val="25"/>
                <w:rFonts w:ascii="Arial" w:hAnsi="Arial" w:cs="Arial"/>
                <w:sz w:val="21"/>
                <w:szCs w:val="21"/>
                <w:lang w:val="id-ID"/>
              </w:rPr>
              <w:footnoteReference w:id="148"/>
            </w:r>
            <w:bookmarkEnd w:id="207"/>
            <w:bookmarkEnd w:id="208"/>
            <w:bookmarkEnd w:id="209"/>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 xml:space="preserve">tidak membayar kecuali jika kegagalan membayar disebabkan oleh kesalahan administratif atau teknis dan pembayaran dilakukan dalam [tiga] Hari Kerja sejak tanggal jatuh tempo; </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 xml:space="preserve">pada setiap Tanggal Perhitungan, DSCR </w:t>
            </w:r>
            <w:r>
              <w:rPr>
                <w:rFonts w:ascii="Arial" w:hAnsi="Arial" w:cs="Arial"/>
                <w:sz w:val="21"/>
                <w:szCs w:val="21"/>
                <w:lang w:val="en-US"/>
              </w:rPr>
              <w:t>Terdahulu</w:t>
            </w:r>
            <w:r>
              <w:rPr>
                <w:rFonts w:ascii="Arial" w:hAnsi="Arial" w:cs="Arial"/>
                <w:sz w:val="21"/>
                <w:szCs w:val="21"/>
                <w:lang w:val="id-ID"/>
              </w:rPr>
              <w:t xml:space="preserve"> kurang dari [  ];</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kegagalan untuk mematuhi kewajiban lain yang tunduk pada periode pemulihan yang disepakati jika dapat dipulihkan;</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en-US"/>
              </w:rPr>
              <w:t>pernyataan</w:t>
            </w:r>
            <w:r>
              <w:rPr>
                <w:rFonts w:ascii="Arial" w:hAnsi="Arial" w:cs="Arial"/>
                <w:sz w:val="21"/>
                <w:szCs w:val="21"/>
                <w:lang w:val="id-ID"/>
              </w:rPr>
              <w:t xml:space="preserve"> yang salah tunduk pada periode pemulihan yang disepakati jika mampu untuk pemulihan;</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bookmarkStart w:id="210" w:name="_Ref48283431"/>
            <w:r>
              <w:rPr>
                <w:rFonts w:ascii="Arial" w:hAnsi="Arial" w:cs="Arial"/>
                <w:sz w:val="21"/>
                <w:szCs w:val="21"/>
                <w:lang w:val="id-ID"/>
              </w:rPr>
              <w:t>pengakhiran (atau pemberitahuan pengakhiran yang tidak dapat dibatalkan), penangguhan, pencabutan [atau pelanggaran material] Dokumen-dokumen Proyek atau Dokumen-dokumen Pembiayaan selain dari Dokumen Proyek atau Dokumen Pembiayaan yang telah dikeluarkan atau otorisasi/persetujuan;</w:t>
            </w:r>
            <w:bookmarkEnd w:id="210"/>
          </w:p>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 xml:space="preserve">cedera janji silang [tentang: </w:t>
            </w:r>
            <w:r>
              <w:rPr>
                <w:rFonts w:ascii="Arial" w:hAnsi="Arial" w:cs="Arial"/>
                <w:sz w:val="21"/>
                <w:szCs w:val="21"/>
              </w:rPr>
              <w:t>Par</w:t>
            </w:r>
            <w:r>
              <w:rPr>
                <w:rFonts w:ascii="Arial" w:hAnsi="Arial" w:cs="Arial"/>
                <w:sz w:val="21"/>
                <w:szCs w:val="21"/>
                <w:lang w:val="en-US"/>
              </w:rPr>
              <w:t xml:space="preserve">a </w:t>
            </w:r>
            <w:r>
              <w:rPr>
                <w:rFonts w:ascii="Arial" w:hAnsi="Arial" w:cs="Arial"/>
                <w:sz w:val="21"/>
                <w:szCs w:val="21"/>
              </w:rPr>
              <w:t>Partisipan Proyek Utama</w:t>
            </w:r>
            <w:r>
              <w:rPr>
                <w:rFonts w:ascii="Arial" w:hAnsi="Arial" w:cs="Arial"/>
                <w:sz w:val="21"/>
                <w:szCs w:val="21"/>
                <w:lang w:val="id-ID"/>
              </w:rPr>
              <w:t>]/[Perusahaan Proyek, Sponsor [dan Para Pemegang Saham]] [, tunduk pada ambang batas yang disepakati];</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en-US"/>
              </w:rPr>
              <w:t>insolvensi</w:t>
            </w:r>
            <w:r>
              <w:rPr>
                <w:rFonts w:ascii="Arial" w:hAnsi="Arial" w:cs="Arial"/>
                <w:sz w:val="21"/>
                <w:szCs w:val="21"/>
                <w:lang w:val="id-ID"/>
              </w:rPr>
              <w:t xml:space="preserve"> [tentang: </w:t>
            </w:r>
            <w:r>
              <w:rPr>
                <w:rFonts w:ascii="Arial" w:hAnsi="Arial" w:cs="Arial"/>
                <w:sz w:val="21"/>
                <w:szCs w:val="21"/>
                <w:lang w:val="en-US"/>
              </w:rPr>
              <w:t>Para Partisipan</w:t>
            </w:r>
            <w:r>
              <w:rPr>
                <w:rFonts w:ascii="Arial" w:hAnsi="Arial" w:cs="Arial"/>
                <w:sz w:val="21"/>
                <w:szCs w:val="21"/>
              </w:rPr>
              <w:t xml:space="preserve"> Proyek Utama</w:t>
            </w:r>
            <w:r>
              <w:rPr>
                <w:rFonts w:ascii="Arial" w:hAnsi="Arial" w:cs="Arial"/>
                <w:sz w:val="21"/>
                <w:szCs w:val="21"/>
                <w:lang w:val="id-ID"/>
              </w:rPr>
              <w:t>]/[Perusahaan Proyek, Sponsor</w:t>
            </w:r>
            <w:r>
              <w:rPr>
                <w:rFonts w:ascii="Arial" w:hAnsi="Arial" w:cs="Arial"/>
                <w:sz w:val="21"/>
                <w:szCs w:val="21"/>
                <w:lang w:val="en-US"/>
              </w:rPr>
              <w:t>-Sponsor</w:t>
            </w:r>
            <w:r>
              <w:rPr>
                <w:rFonts w:ascii="Arial" w:hAnsi="Arial" w:cs="Arial"/>
                <w:sz w:val="21"/>
                <w:szCs w:val="21"/>
                <w:lang w:val="id-ID"/>
              </w:rPr>
              <w:t xml:space="preserve"> [dan Para Pemegang Saham]];</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 xml:space="preserve">proses </w:t>
            </w:r>
            <w:r>
              <w:rPr>
                <w:rFonts w:ascii="Arial" w:hAnsi="Arial" w:cs="Arial"/>
                <w:sz w:val="21"/>
                <w:szCs w:val="21"/>
                <w:lang w:val="en-US"/>
              </w:rPr>
              <w:t>insolvensi</w:t>
            </w:r>
            <w:r>
              <w:rPr>
                <w:rFonts w:ascii="Arial" w:hAnsi="Arial" w:cs="Arial"/>
                <w:sz w:val="21"/>
                <w:szCs w:val="21"/>
                <w:lang w:val="id-ID"/>
              </w:rPr>
              <w:t xml:space="preserve"> [ten</w:t>
            </w:r>
            <w:r>
              <w:rPr>
                <w:rFonts w:ascii="Arial" w:hAnsi="Arial" w:cs="Arial"/>
                <w:sz w:val="21"/>
                <w:szCs w:val="21"/>
                <w:lang w:val="en-US"/>
              </w:rPr>
              <w:t>t</w:t>
            </w:r>
            <w:r>
              <w:rPr>
                <w:rFonts w:ascii="Arial" w:hAnsi="Arial" w:cs="Arial"/>
                <w:sz w:val="21"/>
                <w:szCs w:val="21"/>
                <w:lang w:val="id-ID"/>
              </w:rPr>
              <w:t xml:space="preserve">ang: </w:t>
            </w:r>
            <w:r>
              <w:rPr>
                <w:rFonts w:ascii="Arial" w:hAnsi="Arial" w:cs="Arial"/>
                <w:sz w:val="21"/>
                <w:szCs w:val="21"/>
                <w:lang w:val="en-US"/>
              </w:rPr>
              <w:t>Para Partisipan</w:t>
            </w:r>
            <w:r>
              <w:rPr>
                <w:rFonts w:ascii="Arial" w:hAnsi="Arial" w:cs="Arial"/>
                <w:sz w:val="21"/>
                <w:szCs w:val="21"/>
              </w:rPr>
              <w:t xml:space="preserve"> Proyek Utama</w:t>
            </w:r>
            <w:r>
              <w:rPr>
                <w:rFonts w:ascii="Arial" w:hAnsi="Arial" w:cs="Arial"/>
                <w:sz w:val="21"/>
                <w:szCs w:val="21"/>
                <w:lang w:val="id-ID"/>
              </w:rPr>
              <w:t>]/[Perusahaan Proyek, Sponsor</w:t>
            </w:r>
            <w:r>
              <w:rPr>
                <w:rFonts w:ascii="Arial" w:hAnsi="Arial" w:cs="Arial"/>
                <w:sz w:val="21"/>
                <w:szCs w:val="21"/>
                <w:lang w:val="en-US"/>
              </w:rPr>
              <w:t>-Sponsor</w:t>
            </w:r>
            <w:r>
              <w:rPr>
                <w:rFonts w:ascii="Arial" w:hAnsi="Arial" w:cs="Arial"/>
                <w:sz w:val="21"/>
                <w:szCs w:val="21"/>
                <w:lang w:val="id-ID"/>
              </w:rPr>
              <w:t xml:space="preserve"> [dan Para Pemegang Saham]];</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 xml:space="preserve">proses kreditur [tentang: </w:t>
            </w:r>
            <w:r>
              <w:rPr>
                <w:rFonts w:ascii="Arial" w:hAnsi="Arial" w:cs="Arial"/>
                <w:sz w:val="21"/>
                <w:szCs w:val="21"/>
                <w:lang w:val="en-US"/>
              </w:rPr>
              <w:t>Para Partisipan</w:t>
            </w:r>
            <w:r>
              <w:rPr>
                <w:rFonts w:ascii="Arial" w:hAnsi="Arial" w:cs="Arial"/>
                <w:sz w:val="21"/>
                <w:szCs w:val="21"/>
              </w:rPr>
              <w:t xml:space="preserve"> Proyek Utama</w:t>
            </w:r>
            <w:r>
              <w:rPr>
                <w:rFonts w:ascii="Arial" w:hAnsi="Arial" w:cs="Arial"/>
                <w:sz w:val="21"/>
                <w:szCs w:val="21"/>
                <w:lang w:val="id-ID"/>
              </w:rPr>
              <w:t>]/[Perusahaan Proyek, Sponsor</w:t>
            </w:r>
            <w:r>
              <w:rPr>
                <w:rFonts w:ascii="Arial" w:hAnsi="Arial" w:cs="Arial"/>
                <w:sz w:val="21"/>
                <w:szCs w:val="21"/>
                <w:lang w:val="en-US"/>
              </w:rPr>
              <w:t>-Sponsor</w:t>
            </w:r>
            <w:r>
              <w:rPr>
                <w:rFonts w:ascii="Arial" w:hAnsi="Arial" w:cs="Arial"/>
                <w:sz w:val="21"/>
                <w:szCs w:val="21"/>
                <w:lang w:val="id-ID"/>
              </w:rPr>
              <w:t xml:space="preserve"> [dan Para Pemegang Saham]];</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ketidakabsahan dan ketidakberlakuan;</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[kepemilikan Perusahaan Proyek;]</w:t>
            </w:r>
            <w:bookmarkStart w:id="211" w:name="_Ref52192737"/>
            <w:r>
              <w:rPr>
                <w:rStyle w:val="25"/>
                <w:rFonts w:ascii="Arial" w:hAnsi="Arial" w:cs="Arial"/>
                <w:sz w:val="21"/>
                <w:szCs w:val="21"/>
                <w:lang w:val="id-ID"/>
              </w:rPr>
              <w:footnoteReference w:id="149"/>
            </w:r>
            <w:bookmarkEnd w:id="211"/>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penolakan;</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[intervensi pemerintah], nasionalisasi atau pengambilalihan Proyek atau saham di Perusahaan Proyek;</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 xml:space="preserve">ketidakabsahan atau ketidakberlakuan jaminan transaksi; </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en-US"/>
              </w:rPr>
              <w:t>[</w:t>
            </w:r>
            <w:r>
              <w:rPr>
                <w:rFonts w:ascii="Arial" w:hAnsi="Arial" w:cs="Arial"/>
                <w:sz w:val="21"/>
                <w:szCs w:val="21"/>
                <w:lang w:val="id-ID"/>
              </w:rPr>
              <w:t xml:space="preserve">Tanggal Penyelesaian Proyek]/[Tanggal Penyelesaian </w:t>
            </w:r>
            <w:r>
              <w:rPr>
                <w:rFonts w:ascii="Arial" w:hAnsi="Arial" w:cs="Arial"/>
                <w:sz w:val="21"/>
                <w:szCs w:val="21"/>
                <w:lang w:val="en-US"/>
              </w:rPr>
              <w:t>Pembiayaan</w:t>
            </w:r>
            <w:r>
              <w:rPr>
                <w:rFonts w:ascii="Arial" w:hAnsi="Arial" w:cs="Arial"/>
                <w:sz w:val="21"/>
                <w:szCs w:val="21"/>
                <w:lang w:val="id-ID"/>
              </w:rPr>
              <w:t xml:space="preserve">] belum terjadi pada </w:t>
            </w:r>
            <w:r>
              <w:rPr>
                <w:rFonts w:ascii="Arial" w:hAnsi="Arial" w:cs="Arial"/>
                <w:i/>
                <w:iCs/>
                <w:sz w:val="21"/>
                <w:szCs w:val="21"/>
                <w:lang w:val="id-ID"/>
              </w:rPr>
              <w:t>Longstop</w:t>
            </w:r>
            <w:r>
              <w:rPr>
                <w:rFonts w:ascii="Arial" w:hAnsi="Arial" w:cs="Arial"/>
                <w:sz w:val="21"/>
                <w:szCs w:val="21"/>
                <w:lang w:val="id-ID"/>
              </w:rPr>
              <w:t xml:space="preserve"> [Tanggal Penyelesaian Proyek]/[Tanggal Penyelesaian Keuangan] [, atau menurut pendapat [wajar] Penasihat Teknis tidak akan terjadi pada tanggal ini dan </w:t>
            </w:r>
            <w:r>
              <w:rPr>
                <w:rFonts w:ascii="Arial" w:hAnsi="Arial" w:cs="Arial"/>
                <w:sz w:val="21"/>
                <w:szCs w:val="21"/>
                <w:lang w:val="en-US"/>
              </w:rPr>
              <w:t>Debitur</w:t>
            </w:r>
            <w:r>
              <w:rPr>
                <w:rFonts w:ascii="Arial" w:hAnsi="Arial" w:cs="Arial"/>
                <w:sz w:val="21"/>
                <w:szCs w:val="21"/>
                <w:lang w:val="id-ID"/>
              </w:rPr>
              <w:t xml:space="preserve"> belum mengusulkan rencana pemulihan yang dapat diterima];</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 xml:space="preserve">pengabaian atau penghancuran seluruh atau sebagian Proyek </w:t>
            </w:r>
            <w:r>
              <w:rPr>
                <w:rFonts w:ascii="Arial" w:hAnsi="Arial" w:cs="Arial"/>
                <w:sz w:val="21"/>
                <w:szCs w:val="21"/>
                <w:lang w:val="en-US"/>
              </w:rPr>
              <w:t xml:space="preserve">yang bersifat </w:t>
            </w:r>
            <w:r>
              <w:rPr>
                <w:rFonts w:ascii="Arial" w:hAnsi="Arial" w:cs="Arial"/>
                <w:sz w:val="21"/>
                <w:szCs w:val="21"/>
                <w:lang w:val="id-ID"/>
              </w:rPr>
              <w:t>materi</w:t>
            </w:r>
            <w:r>
              <w:rPr>
                <w:rFonts w:ascii="Arial" w:hAnsi="Arial" w:cs="Arial"/>
                <w:sz w:val="21"/>
                <w:szCs w:val="21"/>
                <w:lang w:val="en-US"/>
              </w:rPr>
              <w:t xml:space="preserve">al </w:t>
            </w:r>
            <w:r>
              <w:rPr>
                <w:rFonts w:ascii="Arial" w:hAnsi="Arial" w:cs="Arial"/>
                <w:sz w:val="21"/>
                <w:szCs w:val="21"/>
                <w:lang w:val="id-ID"/>
              </w:rPr>
              <w:t>[dan tidak mungkin untuk dipulihkan kembali berdasarkan rencana pemulihan]</w:t>
            </w:r>
            <w:bookmarkStart w:id="212" w:name="_Ref48281587"/>
            <w:r>
              <w:rPr>
                <w:rStyle w:val="25"/>
                <w:rFonts w:ascii="Arial" w:hAnsi="Arial" w:cs="Arial"/>
                <w:sz w:val="21"/>
                <w:szCs w:val="21"/>
                <w:lang w:val="id-ID"/>
              </w:rPr>
              <w:footnoteReference w:id="150"/>
            </w:r>
            <w:bookmarkEnd w:id="212"/>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penghindaran atau penangguhan asuransi;</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 xml:space="preserve">hak </w:t>
            </w:r>
            <w:r>
              <w:rPr>
                <w:rFonts w:ascii="Arial" w:hAnsi="Arial" w:cs="Arial"/>
                <w:sz w:val="21"/>
                <w:szCs w:val="21"/>
                <w:lang w:val="en-US"/>
              </w:rPr>
              <w:t xml:space="preserve">kepemilikan </w:t>
            </w:r>
            <w:r>
              <w:rPr>
                <w:rFonts w:ascii="Arial" w:hAnsi="Arial" w:cs="Arial"/>
                <w:sz w:val="21"/>
                <w:szCs w:val="21"/>
                <w:lang w:val="id-ID"/>
              </w:rPr>
              <w:t>atas aset;</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w:t>
            </w:r>
            <w:r>
              <w:rPr>
                <w:rFonts w:ascii="Arial" w:hAnsi="Arial" w:cs="Arial"/>
                <w:i/>
                <w:iCs/>
                <w:sz w:val="21"/>
                <w:szCs w:val="21"/>
                <w:lang w:val="id-ID"/>
              </w:rPr>
              <w:t>masukkan peristiwa cedera janji apa pun terkait lingkungan dan sosial</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[perusahaan yang dinyatakan</w:t>
            </w:r>
            <w:r>
              <w:rPr>
                <w:rFonts w:ascii="Arial" w:hAnsi="Arial" w:cs="Arial"/>
                <w:sz w:val="21"/>
                <w:szCs w:val="21"/>
                <w:lang w:val="en-US"/>
              </w:rPr>
              <w:t xml:space="preserve"> (</w:t>
            </w:r>
            <w:r>
              <w:rPr>
                <w:rFonts w:ascii="Arial" w:hAnsi="Arial" w:cs="Arial"/>
                <w:i/>
                <w:iCs/>
                <w:sz w:val="21"/>
                <w:szCs w:val="21"/>
                <w:lang w:val="en-US"/>
              </w:rPr>
              <w:t>declared company</w:t>
            </w:r>
            <w:r>
              <w:rPr>
                <w:rFonts w:ascii="Arial" w:hAnsi="Arial" w:cs="Arial"/>
                <w:sz w:val="21"/>
                <w:szCs w:val="21"/>
                <w:lang w:val="en-US"/>
              </w:rPr>
              <w:t>)</w:t>
            </w:r>
            <w:r>
              <w:rPr>
                <w:rFonts w:ascii="Arial" w:hAnsi="Arial" w:cs="Arial"/>
                <w:sz w:val="21"/>
                <w:szCs w:val="21"/>
                <w:lang w:val="id-ID"/>
              </w:rPr>
              <w:t xml:space="preserve"> berdasarkan Part IX of Singapore Companies Act]; </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perubahan merugikan</w:t>
            </w:r>
            <w:bookmarkStart w:id="213" w:name="_Ref48281632"/>
            <w:r>
              <w:rPr>
                <w:rFonts w:ascii="Arial" w:hAnsi="Arial" w:cs="Arial"/>
                <w:sz w:val="21"/>
                <w:szCs w:val="21"/>
                <w:lang w:val="en-US"/>
              </w:rPr>
              <w:t xml:space="preserve"> yang material</w:t>
            </w:r>
            <w:r>
              <w:rPr>
                <w:rStyle w:val="25"/>
                <w:rFonts w:ascii="Arial" w:hAnsi="Arial" w:cs="Arial"/>
                <w:sz w:val="21"/>
                <w:szCs w:val="21"/>
                <w:lang w:val="id-ID"/>
              </w:rPr>
              <w:t xml:space="preserve"> </w:t>
            </w:r>
            <w:r>
              <w:rPr>
                <w:rStyle w:val="25"/>
                <w:rFonts w:ascii="Arial" w:hAnsi="Arial" w:cs="Arial"/>
                <w:sz w:val="21"/>
                <w:szCs w:val="21"/>
                <w:lang w:val="id-ID"/>
              </w:rPr>
              <w:footnoteReference w:id="151"/>
            </w:r>
            <w:bookmarkEnd w:id="213"/>
            <w:r>
              <w:rPr>
                <w:rFonts w:ascii="Arial" w:hAnsi="Arial" w:cs="Arial"/>
                <w:sz w:val="21"/>
                <w:szCs w:val="21"/>
                <w:lang w:val="id-ID"/>
              </w:rPr>
              <w:t>; [dan]</w:t>
            </w:r>
          </w:p>
        </w:tc>
      </w:tr>
      <w:tr>
        <w:tblPrEx>
          <w:tblCellMar>
            <w:top w:w="0" w:type="dxa"/>
            <w:left w:w="108" w:type="dxa"/>
            <w:bottom w:w="0" w:type="dxa"/>
            <w:right w:w="108" w:type="dxa"/>
          </w:tblCellMar>
        </w:tblPrEx>
        <w:tc>
          <w:tcPr>
            <w:tcW w:w="3431" w:type="dxa"/>
          </w:tcPr>
          <w:p>
            <w:pPr>
              <w:widowControl w:val="0"/>
              <w:spacing w:after="100"/>
              <w:jc w:val="left"/>
              <w:rPr>
                <w:rFonts w:ascii="Arial" w:hAnsi="Arial" w:cs="Arial"/>
                <w:b/>
                <w:sz w:val="21"/>
                <w:szCs w:val="21"/>
                <w:lang w:val="id-ID"/>
              </w:rPr>
            </w:pPr>
          </w:p>
        </w:tc>
        <w:tc>
          <w:tcPr>
            <w:tcW w:w="5236" w:type="dxa"/>
          </w:tcPr>
          <w:p>
            <w:pPr>
              <w:pStyle w:val="103"/>
              <w:widowControl w:val="0"/>
              <w:tabs>
                <w:tab w:val="clear" w:pos="766"/>
              </w:tabs>
              <w:spacing w:after="100"/>
              <w:ind w:left="720" w:hanging="720"/>
              <w:rPr>
                <w:rFonts w:ascii="Arial" w:hAnsi="Arial" w:cs="Arial"/>
                <w:sz w:val="21"/>
                <w:szCs w:val="21"/>
                <w:lang w:val="id-ID"/>
              </w:rPr>
            </w:pPr>
            <w:r>
              <w:rPr>
                <w:rFonts w:ascii="Arial" w:hAnsi="Arial" w:cs="Arial"/>
                <w:sz w:val="21"/>
                <w:szCs w:val="21"/>
                <w:lang w:val="id-ID"/>
              </w:rPr>
              <w:t>[</w:t>
            </w:r>
            <w:r>
              <w:rPr>
                <w:rFonts w:ascii="Arial" w:hAnsi="Arial" w:cs="Arial"/>
                <w:i/>
                <w:iCs/>
                <w:sz w:val="21"/>
                <w:szCs w:val="21"/>
                <w:lang w:val="id-ID"/>
              </w:rPr>
              <w:t>lainnya</w:t>
            </w:r>
            <w:r>
              <w:rPr>
                <w:rFonts w:ascii="Arial" w:hAnsi="Arial" w:cs="Arial"/>
                <w:sz w:val="21"/>
                <w:szCs w:val="21"/>
                <w:lang w:val="id-ID"/>
              </w:rPr>
              <w:t>].</w:t>
            </w:r>
            <w:bookmarkStart w:id="214" w:name="_9kR3WTr6734DJDDD"/>
            <w:bookmarkStart w:id="215" w:name="_9kP4WSt67349CADD"/>
            <w:r>
              <w:rPr>
                <w:rStyle w:val="25"/>
                <w:rFonts w:ascii="Arial" w:hAnsi="Arial" w:cs="Arial"/>
                <w:sz w:val="21"/>
                <w:szCs w:val="21"/>
                <w:lang w:val="id-ID"/>
              </w:rPr>
              <w:footnoteReference w:id="152"/>
            </w:r>
            <w:bookmarkEnd w:id="214"/>
            <w:bookmarkEnd w:id="215"/>
          </w:p>
        </w:tc>
      </w:tr>
    </w:tbl>
    <w:p>
      <w:pPr>
        <w:pStyle w:val="107"/>
        <w:pageBreakBefore/>
        <w:spacing w:after="120"/>
        <w:rPr>
          <w:rFonts w:ascii="Arial" w:hAnsi="Arial" w:cs="Arial"/>
          <w:b w:val="0"/>
          <w:sz w:val="21"/>
          <w:szCs w:val="21"/>
          <w:lang w:val="id-ID"/>
        </w:rPr>
      </w:pPr>
      <w:bookmarkStart w:id="216" w:name="_Toc74860711"/>
      <w:bookmarkStart w:id="217" w:name="_Toc74557565"/>
      <w:r>
        <w:rPr>
          <w:rFonts w:ascii="Arial" w:hAnsi="Arial" w:cs="Arial"/>
          <w:sz w:val="21"/>
          <w:szCs w:val="21"/>
          <w:lang w:val="en-US"/>
        </w:rPr>
        <w:t>PER</w:t>
      </w:r>
      <w:r>
        <w:rPr>
          <w:rFonts w:ascii="Arial" w:hAnsi="Arial" w:cs="Arial"/>
          <w:sz w:val="21"/>
          <w:szCs w:val="21"/>
          <w:lang w:val="id-ID"/>
        </w:rPr>
        <w:t>MASALAH</w:t>
      </w:r>
      <w:r>
        <w:rPr>
          <w:rFonts w:ascii="Arial" w:hAnsi="Arial" w:cs="Arial"/>
          <w:sz w:val="21"/>
          <w:szCs w:val="21"/>
          <w:lang w:val="en-US"/>
        </w:rPr>
        <w:t>AN</w:t>
      </w:r>
      <w:r>
        <w:rPr>
          <w:rFonts w:ascii="Arial" w:hAnsi="Arial" w:cs="Arial"/>
          <w:sz w:val="21"/>
          <w:szCs w:val="21"/>
          <w:lang w:val="id-ID"/>
        </w:rPr>
        <w:t xml:space="preserve"> </w:t>
      </w:r>
      <w:r>
        <w:rPr>
          <w:rFonts w:ascii="Arial" w:hAnsi="Arial" w:cs="Arial"/>
          <w:sz w:val="21"/>
          <w:szCs w:val="21"/>
          <w:lang w:val="en-US"/>
        </w:rPr>
        <w:t>Antarkreditur</w:t>
      </w:r>
      <w:r>
        <w:rPr>
          <w:rStyle w:val="25"/>
          <w:rFonts w:ascii="Arial" w:hAnsi="Arial" w:cs="Arial"/>
          <w:b w:val="0"/>
          <w:sz w:val="21"/>
          <w:szCs w:val="21"/>
          <w:lang w:val="id-ID"/>
        </w:rPr>
        <w:footnoteReference w:id="153"/>
      </w:r>
      <w:bookmarkEnd w:id="216"/>
      <w:bookmarkEnd w:id="217"/>
    </w:p>
    <w:tbl>
      <w:tblPr>
        <w:tblStyle w:val="17"/>
        <w:tblW w:w="5000" w:type="pct"/>
        <w:tblInd w:w="0" w:type="dxa"/>
        <w:tblLayout w:type="fixed"/>
        <w:tblCellMar>
          <w:top w:w="0" w:type="dxa"/>
          <w:left w:w="108" w:type="dxa"/>
          <w:bottom w:w="0" w:type="dxa"/>
          <w:right w:w="108" w:type="dxa"/>
        </w:tblCellMar>
      </w:tblPr>
      <w:tblGrid>
        <w:gridCol w:w="3517"/>
        <w:gridCol w:w="5366"/>
      </w:tblGrid>
      <w:tr>
        <w:tblPrEx>
          <w:tblCellMar>
            <w:top w:w="0" w:type="dxa"/>
            <w:left w:w="108" w:type="dxa"/>
            <w:bottom w:w="0" w:type="dxa"/>
            <w:right w:w="108" w:type="dxa"/>
          </w:tblCellMar>
        </w:tblPrEx>
        <w:tc>
          <w:tcPr>
            <w:tcW w:w="3686" w:type="dxa"/>
          </w:tcPr>
          <w:p>
            <w:pPr>
              <w:pStyle w:val="105"/>
              <w:keepNext w:val="0"/>
              <w:tabs>
                <w:tab w:val="clear" w:pos="720"/>
              </w:tabs>
              <w:spacing w:after="120"/>
              <w:jc w:val="both"/>
              <w:rPr>
                <w:rFonts w:ascii="Arial" w:hAnsi="Arial" w:cs="Arial"/>
                <w:b w:val="0"/>
                <w:sz w:val="21"/>
                <w:szCs w:val="21"/>
                <w:lang w:val="id-ID"/>
              </w:rPr>
            </w:pPr>
            <w:bookmarkStart w:id="218" w:name="_Toc74557566"/>
            <w:bookmarkStart w:id="219" w:name="_Toc74860712"/>
            <w:r>
              <w:rPr>
                <w:rFonts w:ascii="Arial" w:hAnsi="Arial" w:cs="Arial"/>
                <w:sz w:val="21"/>
                <w:szCs w:val="21"/>
                <w:lang w:val="id-ID"/>
              </w:rPr>
              <w:t>Kreditur Mayoritas:</w:t>
            </w:r>
            <w:bookmarkEnd w:id="218"/>
            <w:bookmarkEnd w:id="219"/>
          </w:p>
        </w:tc>
        <w:tc>
          <w:tcPr>
            <w:tcW w:w="5636" w:type="dxa"/>
          </w:tcPr>
          <w:p>
            <w:pPr>
              <w:pStyle w:val="103"/>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[66 </w:t>
            </w:r>
            <w:r>
              <w:rPr>
                <w:rFonts w:ascii="Arial" w:hAnsi="Arial" w:cs="Arial"/>
                <w:sz w:val="21"/>
                <w:szCs w:val="21"/>
                <w:vertAlign w:val="superscript"/>
                <w:lang w:val="id-ID"/>
              </w:rPr>
              <w:t>2</w:t>
            </w:r>
            <w:r>
              <w:rPr>
                <w:rFonts w:ascii="Arial" w:hAnsi="Arial" w:cs="Arial"/>
                <w:sz w:val="21"/>
                <w:szCs w:val="21"/>
                <w:lang w:val="id-ID"/>
              </w:rPr>
              <w:t>/</w:t>
            </w:r>
            <w:r>
              <w:rPr>
                <w:rFonts w:ascii="Arial" w:hAnsi="Arial" w:cs="Arial"/>
                <w:sz w:val="21"/>
                <w:szCs w:val="21"/>
                <w:vertAlign w:val="subscript"/>
                <w:lang w:val="id-ID"/>
              </w:rPr>
              <w:t>3</w:t>
            </w:r>
            <w:r>
              <w:rPr>
                <w:rFonts w:ascii="Arial" w:hAnsi="Arial" w:cs="Arial"/>
                <w:sz w:val="21"/>
                <w:szCs w:val="21"/>
                <w:lang w:val="id-ID"/>
              </w:rPr>
              <w:t xml:space="preserve">]% atau lebih dari </w:t>
            </w:r>
            <w:r>
              <w:rPr>
                <w:rFonts w:ascii="Arial" w:hAnsi="Arial" w:cs="Arial"/>
                <w:sz w:val="21"/>
                <w:szCs w:val="21"/>
                <w:lang w:val="en-US"/>
              </w:rPr>
              <w:t>Komitmen-komitmen Total</w:t>
            </w:r>
            <w:r>
              <w:rPr>
                <w:rFonts w:ascii="Arial" w:hAnsi="Arial" w:cs="Arial"/>
                <w:sz w:val="21"/>
                <w:szCs w:val="21"/>
                <w:lang w:val="id-ID"/>
              </w:rPr>
              <w:t>.</w:t>
            </w:r>
          </w:p>
        </w:tc>
      </w:tr>
      <w:tr>
        <w:tblPrEx>
          <w:tblCellMar>
            <w:top w:w="0" w:type="dxa"/>
            <w:left w:w="108" w:type="dxa"/>
            <w:bottom w:w="0" w:type="dxa"/>
            <w:right w:w="108" w:type="dxa"/>
          </w:tblCellMar>
        </w:tblPrEx>
        <w:tc>
          <w:tcPr>
            <w:tcW w:w="3686" w:type="dxa"/>
          </w:tcPr>
          <w:p>
            <w:pPr>
              <w:pStyle w:val="105"/>
              <w:keepNext w:val="0"/>
              <w:numPr>
                <w:ilvl w:val="0"/>
                <w:numId w:val="0"/>
              </w:numPr>
              <w:spacing w:after="120"/>
              <w:jc w:val="both"/>
              <w:rPr>
                <w:rFonts w:ascii="Arial" w:hAnsi="Arial" w:cs="Arial"/>
                <w:sz w:val="21"/>
                <w:szCs w:val="21"/>
                <w:lang w:val="id-ID"/>
              </w:rPr>
            </w:pPr>
          </w:p>
        </w:tc>
        <w:tc>
          <w:tcPr>
            <w:tcW w:w="5636" w:type="dxa"/>
          </w:tcPr>
          <w:p>
            <w:pPr>
              <w:pStyle w:val="103"/>
              <w:tabs>
                <w:tab w:val="clear" w:pos="766"/>
              </w:tabs>
              <w:spacing w:after="120"/>
              <w:ind w:left="720" w:hanging="720"/>
              <w:rPr>
                <w:rFonts w:ascii="Arial" w:hAnsi="Arial" w:cs="Arial"/>
                <w:sz w:val="21"/>
                <w:szCs w:val="21"/>
                <w:lang w:val="id-ID"/>
              </w:rPr>
            </w:pPr>
            <w:r>
              <w:rPr>
                <w:rFonts w:ascii="Arial" w:hAnsi="Arial" w:cs="Arial"/>
                <w:sz w:val="21"/>
                <w:szCs w:val="21"/>
                <w:lang w:val="id-ID"/>
              </w:rPr>
              <w:t xml:space="preserve">Ketentuan yang mengharuskan semua persetujuan Kreditur untuk </w:t>
            </w:r>
            <w:r>
              <w:rPr>
                <w:rFonts w:ascii="Arial" w:hAnsi="Arial" w:cs="Arial"/>
                <w:sz w:val="21"/>
                <w:szCs w:val="21"/>
                <w:lang w:val="en-US"/>
              </w:rPr>
              <w:t xml:space="preserve">perubahan dan penyampingan </w:t>
            </w:r>
            <w:r>
              <w:rPr>
                <w:rFonts w:ascii="Arial" w:hAnsi="Arial" w:cs="Arial"/>
                <w:sz w:val="21"/>
                <w:szCs w:val="21"/>
                <w:lang w:val="id-ID"/>
              </w:rPr>
              <w:t xml:space="preserve">tertentu </w:t>
            </w:r>
            <w:r>
              <w:rPr>
                <w:rFonts w:ascii="Arial" w:hAnsi="Arial" w:cs="Arial"/>
                <w:sz w:val="21"/>
                <w:szCs w:val="21"/>
                <w:lang w:val="en-US"/>
              </w:rPr>
              <w:t xml:space="preserve">yang biasanya </w:t>
            </w:r>
            <w:r>
              <w:rPr>
                <w:rFonts w:ascii="Arial" w:hAnsi="Arial" w:cs="Arial"/>
                <w:sz w:val="21"/>
                <w:szCs w:val="21"/>
                <w:lang w:val="id-ID"/>
              </w:rPr>
              <w:t>akan disertakan.</w:t>
            </w:r>
          </w:p>
        </w:tc>
      </w:tr>
      <w:tr>
        <w:tblPrEx>
          <w:tblCellMar>
            <w:top w:w="0" w:type="dxa"/>
            <w:left w:w="108" w:type="dxa"/>
            <w:bottom w:w="0" w:type="dxa"/>
            <w:right w:w="108" w:type="dxa"/>
          </w:tblCellMar>
        </w:tblPrEx>
        <w:tc>
          <w:tcPr>
            <w:tcW w:w="3686" w:type="dxa"/>
          </w:tcPr>
          <w:p>
            <w:pPr>
              <w:pStyle w:val="105"/>
              <w:keepNext w:val="0"/>
              <w:tabs>
                <w:tab w:val="clear" w:pos="720"/>
              </w:tabs>
              <w:spacing w:after="120"/>
              <w:jc w:val="both"/>
              <w:rPr>
                <w:rFonts w:ascii="Arial" w:hAnsi="Arial" w:cs="Arial"/>
                <w:b w:val="0"/>
                <w:sz w:val="21"/>
                <w:szCs w:val="21"/>
                <w:lang w:val="id-ID"/>
              </w:rPr>
            </w:pPr>
            <w:bookmarkStart w:id="220" w:name="_Toc74860713"/>
            <w:bookmarkStart w:id="221" w:name="_Toc74557567"/>
            <w:r>
              <w:rPr>
                <w:rFonts w:ascii="Arial" w:hAnsi="Arial" w:cs="Arial"/>
                <w:sz w:val="21"/>
                <w:szCs w:val="21"/>
                <w:lang w:val="id-ID"/>
              </w:rPr>
              <w:t>Pengalihan</w:t>
            </w:r>
            <w:r>
              <w:rPr>
                <w:rFonts w:ascii="Arial" w:hAnsi="Arial" w:cs="Arial"/>
                <w:sz w:val="21"/>
                <w:szCs w:val="21"/>
                <w:lang w:val="en-US"/>
              </w:rPr>
              <w:t>-pengalihan</w:t>
            </w:r>
            <w:r>
              <w:rPr>
                <w:rStyle w:val="25"/>
                <w:rFonts w:ascii="Arial" w:hAnsi="Arial" w:cs="Arial"/>
                <w:b w:val="0"/>
                <w:bCs/>
                <w:sz w:val="21"/>
                <w:szCs w:val="21"/>
                <w:lang w:val="id-ID"/>
              </w:rPr>
              <w:footnoteReference w:id="154"/>
            </w:r>
            <w:r>
              <w:rPr>
                <w:rFonts w:ascii="Arial" w:hAnsi="Arial" w:cs="Arial"/>
                <w:b w:val="0"/>
                <w:bCs/>
                <w:sz w:val="21"/>
                <w:szCs w:val="21"/>
                <w:lang w:val="id-ID"/>
              </w:rPr>
              <w:t xml:space="preserve"> </w:t>
            </w:r>
            <w:r>
              <w:rPr>
                <w:rFonts w:ascii="Arial" w:hAnsi="Arial" w:cs="Arial"/>
                <w:sz w:val="21"/>
                <w:szCs w:val="21"/>
                <w:lang w:val="id-ID"/>
              </w:rPr>
              <w:t>dan Pemindahan</w:t>
            </w:r>
            <w:r>
              <w:rPr>
                <w:rFonts w:ascii="Arial" w:hAnsi="Arial" w:cs="Arial"/>
                <w:sz w:val="21"/>
                <w:szCs w:val="21"/>
                <w:lang w:val="en-US"/>
              </w:rPr>
              <w:t>-pemindahan</w:t>
            </w:r>
            <w:r>
              <w:rPr>
                <w:rFonts w:ascii="Arial" w:hAnsi="Arial" w:cs="Arial"/>
                <w:sz w:val="21"/>
                <w:szCs w:val="21"/>
                <w:lang w:val="id-ID"/>
              </w:rPr>
              <w:t xml:space="preserve"> hak oleh </w:t>
            </w:r>
            <w:r>
              <w:rPr>
                <w:rFonts w:ascii="Arial" w:hAnsi="Arial" w:cs="Arial"/>
                <w:sz w:val="21"/>
                <w:szCs w:val="21"/>
                <w:lang w:val="en-US"/>
              </w:rPr>
              <w:t xml:space="preserve">Para </w:t>
            </w:r>
            <w:r>
              <w:rPr>
                <w:rFonts w:ascii="Arial" w:hAnsi="Arial" w:cs="Arial"/>
                <w:sz w:val="21"/>
                <w:szCs w:val="21"/>
                <w:lang w:val="id-ID"/>
              </w:rPr>
              <w:t>Kreditur:</w:t>
            </w:r>
            <w:bookmarkStart w:id="222" w:name="_9kP4WSt67349DBDG"/>
            <w:bookmarkStart w:id="223" w:name="_9kR3WTr6734DKEDG"/>
            <w:r>
              <w:rPr>
                <w:rStyle w:val="25"/>
                <w:rFonts w:ascii="Arial" w:hAnsi="Arial" w:cs="Arial"/>
                <w:b w:val="0"/>
                <w:sz w:val="21"/>
                <w:szCs w:val="21"/>
                <w:lang w:val="id-ID"/>
              </w:rPr>
              <w:footnoteReference w:id="155"/>
            </w:r>
            <w:bookmarkEnd w:id="220"/>
            <w:bookmarkEnd w:id="221"/>
            <w:bookmarkEnd w:id="222"/>
            <w:bookmarkEnd w:id="223"/>
          </w:p>
        </w:tc>
        <w:tc>
          <w:tcPr>
            <w:tcW w:w="5636" w:type="dxa"/>
          </w:tcPr>
          <w:p>
            <w:pPr>
              <w:pStyle w:val="103"/>
              <w:tabs>
                <w:tab w:val="clear" w:pos="766"/>
              </w:tabs>
              <w:spacing w:after="120"/>
              <w:ind w:left="720" w:hanging="720"/>
              <w:rPr>
                <w:rFonts w:ascii="Arial" w:hAnsi="Arial" w:cs="Arial"/>
                <w:sz w:val="21"/>
                <w:szCs w:val="21"/>
                <w:lang w:val="id-ID"/>
              </w:rPr>
            </w:pPr>
            <w:r>
              <w:rPr>
                <w:rFonts w:ascii="Arial" w:hAnsi="Arial" w:cs="Arial"/>
                <w:sz w:val="21"/>
                <w:szCs w:val="21"/>
                <w:lang w:val="id-ID"/>
              </w:rPr>
              <w:t>Kreditur dapat mengalihkan setiap haknya atau mengalihkan dengan novasi salah satu hak dan kewajibannya kepada bank atau lembaga keuangan lain atau kepada perwalian</w:t>
            </w:r>
            <w:r>
              <w:rPr>
                <w:rFonts w:ascii="Arial" w:hAnsi="Arial" w:cs="Arial"/>
                <w:sz w:val="21"/>
                <w:szCs w:val="21"/>
                <w:lang w:val="en-US"/>
              </w:rPr>
              <w:t xml:space="preserve"> (</w:t>
            </w:r>
            <w:r>
              <w:rPr>
                <w:rFonts w:ascii="Arial" w:hAnsi="Arial" w:cs="Arial"/>
                <w:i/>
                <w:iCs/>
                <w:sz w:val="21"/>
                <w:szCs w:val="21"/>
                <w:lang w:val="en-US"/>
              </w:rPr>
              <w:t>trust</w:t>
            </w:r>
            <w:r>
              <w:rPr>
                <w:rFonts w:ascii="Arial" w:hAnsi="Arial" w:cs="Arial"/>
                <w:sz w:val="21"/>
                <w:szCs w:val="21"/>
                <w:lang w:val="en-US"/>
              </w:rPr>
              <w:t>)</w:t>
            </w:r>
            <w:r>
              <w:rPr>
                <w:rFonts w:ascii="Arial" w:hAnsi="Arial" w:cs="Arial"/>
                <w:sz w:val="21"/>
                <w:szCs w:val="21"/>
                <w:lang w:val="id-ID"/>
              </w:rPr>
              <w:t xml:space="preserve">, dana atau entitas lain yang secara teratur terlibat dalam atau didirikan untuk tujuan membuat, membeli atau berinvestasi dalam pinjaman, </w:t>
            </w:r>
            <w:r>
              <w:rPr>
                <w:rFonts w:ascii="Arial" w:hAnsi="Arial" w:cs="Arial"/>
                <w:sz w:val="21"/>
                <w:szCs w:val="21"/>
                <w:lang w:val="en-US"/>
              </w:rPr>
              <w:t>surat berharga</w:t>
            </w:r>
            <w:r>
              <w:rPr>
                <w:rFonts w:ascii="Arial" w:hAnsi="Arial" w:cs="Arial"/>
                <w:sz w:val="21"/>
                <w:szCs w:val="21"/>
                <w:lang w:val="id-ID"/>
              </w:rPr>
              <w:t xml:space="preserve"> atau aset keuangan lainnya. </w:t>
            </w:r>
          </w:p>
        </w:tc>
      </w:tr>
      <w:tr>
        <w:tblPrEx>
          <w:tblCellMar>
            <w:top w:w="0" w:type="dxa"/>
            <w:left w:w="108" w:type="dxa"/>
            <w:bottom w:w="0" w:type="dxa"/>
            <w:right w:w="108" w:type="dxa"/>
          </w:tblCellMar>
        </w:tblPrEx>
        <w:tc>
          <w:tcPr>
            <w:tcW w:w="3686" w:type="dxa"/>
          </w:tcPr>
          <w:p>
            <w:pPr>
              <w:widowControl w:val="0"/>
              <w:spacing w:after="120"/>
              <w:jc w:val="left"/>
              <w:rPr>
                <w:rFonts w:ascii="Arial" w:hAnsi="Arial" w:cs="Arial"/>
                <w:b/>
                <w:sz w:val="21"/>
                <w:szCs w:val="21"/>
                <w:lang w:val="id-ID"/>
              </w:rPr>
            </w:pPr>
          </w:p>
        </w:tc>
        <w:tc>
          <w:tcPr>
            <w:tcW w:w="5636" w:type="dxa"/>
          </w:tcPr>
          <w:p>
            <w:pPr>
              <w:pStyle w:val="103"/>
              <w:tabs>
                <w:tab w:val="clear" w:pos="766"/>
              </w:tabs>
              <w:spacing w:after="120"/>
              <w:ind w:left="720" w:hanging="720"/>
              <w:rPr>
                <w:rFonts w:ascii="Arial" w:hAnsi="Arial" w:cs="Arial"/>
                <w:sz w:val="21"/>
                <w:szCs w:val="21"/>
                <w:lang w:val="id-ID"/>
              </w:rPr>
            </w:pPr>
            <w:bookmarkStart w:id="224" w:name="_9kMKJ5YVt7DA6GM"/>
            <w:r>
              <w:rPr>
                <w:rFonts w:ascii="Arial" w:hAnsi="Arial" w:cs="Arial"/>
                <w:sz w:val="21"/>
                <w:szCs w:val="21"/>
                <w:lang w:val="id-ID"/>
              </w:rPr>
              <w:t>[</w:t>
            </w:r>
            <w:bookmarkEnd w:id="224"/>
            <w:r>
              <w:rPr>
                <w:rFonts w:ascii="Arial" w:hAnsi="Arial" w:cs="Arial"/>
                <w:sz w:val="21"/>
                <w:szCs w:val="21"/>
                <w:lang w:val="id-ID"/>
              </w:rPr>
              <w:t>Kreditur yang mengusulkan untuk mengalihkan atau memindahkan hak harus [berkonsultasi dengan Perusahaan Proyek tidak lebih dari [</w:t>
            </w:r>
            <w:bookmarkStart w:id="225" w:name="_9kMLBO6ZWu9A67EI"/>
            <w:bookmarkStart w:id="226" w:name="_9kMLBM7ZVw9A67AB"/>
            <w:r>
              <w:rPr>
                <w:rFonts w:ascii="Arial" w:hAnsi="Arial" w:cs="Arial"/>
                <w:sz w:val="21"/>
                <w:szCs w:val="21"/>
                <w:lang w:val="id-ID"/>
              </w:rPr>
              <w:t>•</w:t>
            </w:r>
            <w:bookmarkEnd w:id="225"/>
            <w:bookmarkEnd w:id="226"/>
            <w:r>
              <w:rPr>
                <w:rFonts w:ascii="Arial" w:hAnsi="Arial" w:cs="Arial"/>
                <w:sz w:val="21"/>
                <w:szCs w:val="21"/>
                <w:lang w:val="id-ID"/>
              </w:rPr>
              <w:t>] hari sebelum me</w:t>
            </w:r>
            <w:r>
              <w:rPr>
                <w:rFonts w:ascii="Arial" w:hAnsi="Arial" w:cs="Arial"/>
                <w:sz w:val="21"/>
                <w:szCs w:val="21"/>
                <w:lang w:val="en-US"/>
              </w:rPr>
              <w:t xml:space="preserve">lakukan </w:t>
            </w:r>
            <w:r>
              <w:rPr>
                <w:rFonts w:ascii="Arial" w:hAnsi="Arial" w:cs="Arial"/>
                <w:sz w:val="21"/>
                <w:szCs w:val="21"/>
                <w:lang w:val="id-ID"/>
              </w:rPr>
              <w:t>pengalihan atau pemindahan hak tersebut]/</w:t>
            </w:r>
            <w:bookmarkStart w:id="227" w:name="_9kMI4K6ZWu8EB7DN"/>
            <w:bookmarkStart w:id="228" w:name="_9kMI4I7ZVw8EB79G"/>
            <w:r>
              <w:rPr>
                <w:rFonts w:ascii="Arial" w:hAnsi="Arial" w:cs="Arial"/>
                <w:sz w:val="21"/>
                <w:szCs w:val="21"/>
                <w:lang w:val="id-ID"/>
              </w:rPr>
              <w:t>[</w:t>
            </w:r>
            <w:bookmarkEnd w:id="227"/>
            <w:bookmarkEnd w:id="228"/>
            <w:r>
              <w:rPr>
                <w:rFonts w:ascii="Arial" w:hAnsi="Arial" w:cs="Arial"/>
                <w:sz w:val="21"/>
                <w:szCs w:val="21"/>
                <w:lang w:val="id-ID"/>
              </w:rPr>
              <w:t xml:space="preserve">memperoleh persetujuan sebelumnya dari Perusahaan Proyek untuk pengalihan atau </w:t>
            </w:r>
            <w:r>
              <w:rPr>
                <w:rFonts w:ascii="Arial" w:hAnsi="Arial" w:cs="Arial"/>
                <w:sz w:val="21"/>
                <w:szCs w:val="21"/>
                <w:lang w:val="en-US"/>
              </w:rPr>
              <w:t xml:space="preserve">pemindahan </w:t>
            </w:r>
            <w:r>
              <w:rPr>
                <w:rFonts w:ascii="Arial" w:hAnsi="Arial" w:cs="Arial"/>
                <w:sz w:val="21"/>
                <w:szCs w:val="21"/>
                <w:lang w:val="id-ID"/>
              </w:rPr>
              <w:t xml:space="preserve">tersebut, </w:t>
            </w:r>
            <w:r>
              <w:rPr>
                <w:rFonts w:ascii="Arial" w:hAnsi="Arial" w:cs="Arial"/>
                <w:sz w:val="21"/>
                <w:szCs w:val="21"/>
                <w:lang w:val="en-US"/>
              </w:rPr>
              <w:t>y</w:t>
            </w:r>
            <w:r>
              <w:rPr>
                <w:rFonts w:ascii="Arial" w:hAnsi="Arial" w:cs="Arial"/>
                <w:sz w:val="21"/>
                <w:szCs w:val="21"/>
                <w:lang w:val="id-ID"/>
              </w:rPr>
              <w:t xml:space="preserve">ang persetujuannya tidak akan ditahan atau ditunda secara tidak wajar dan akan dianggap diberikan jika tidak secara tegas ditolak dalam [lima] Hari Kerja setelah permintaan kecuali jika pengalihan atau </w:t>
            </w:r>
            <w:r>
              <w:rPr>
                <w:rFonts w:ascii="Arial" w:hAnsi="Arial" w:cs="Arial"/>
                <w:sz w:val="21"/>
                <w:szCs w:val="21"/>
                <w:lang w:val="en-US"/>
              </w:rPr>
              <w:t xml:space="preserve">pemindahan </w:t>
            </w:r>
            <w:r>
              <w:rPr>
                <w:rFonts w:ascii="Arial" w:hAnsi="Arial" w:cs="Arial"/>
                <w:sz w:val="21"/>
                <w:szCs w:val="21"/>
                <w:lang w:val="id-ID"/>
              </w:rPr>
              <w:t>tersebut:</w:t>
            </w:r>
          </w:p>
        </w:tc>
      </w:tr>
      <w:tr>
        <w:tblPrEx>
          <w:tblCellMar>
            <w:top w:w="0" w:type="dxa"/>
            <w:left w:w="108" w:type="dxa"/>
            <w:bottom w:w="0" w:type="dxa"/>
            <w:right w:w="108" w:type="dxa"/>
          </w:tblCellMar>
        </w:tblPrEx>
        <w:tc>
          <w:tcPr>
            <w:tcW w:w="3686" w:type="dxa"/>
          </w:tcPr>
          <w:p>
            <w:pPr>
              <w:widowControl w:val="0"/>
              <w:spacing w:after="120"/>
              <w:jc w:val="left"/>
              <w:rPr>
                <w:rFonts w:ascii="Arial" w:hAnsi="Arial" w:cs="Arial"/>
                <w:b/>
                <w:sz w:val="21"/>
                <w:szCs w:val="21"/>
                <w:lang w:val="id-ID"/>
              </w:rPr>
            </w:pPr>
          </w:p>
        </w:tc>
        <w:tc>
          <w:tcPr>
            <w:tcW w:w="5636" w:type="dxa"/>
          </w:tcPr>
          <w:p>
            <w:pPr>
              <w:pStyle w:val="99"/>
              <w:tabs>
                <w:tab w:val="clear" w:pos="720"/>
              </w:tabs>
              <w:spacing w:after="120"/>
              <w:ind w:left="1440"/>
              <w:rPr>
                <w:rFonts w:ascii="Arial" w:hAnsi="Arial" w:cs="Arial"/>
                <w:sz w:val="21"/>
                <w:szCs w:val="21"/>
                <w:lang w:val="id-ID"/>
              </w:rPr>
            </w:pPr>
            <w:r>
              <w:rPr>
                <w:rFonts w:ascii="Arial" w:hAnsi="Arial" w:cs="Arial"/>
                <w:sz w:val="21"/>
                <w:szCs w:val="21"/>
                <w:lang w:val="id-ID"/>
              </w:rPr>
              <w:t xml:space="preserve">kepada Kreditur lain atau Afiliasi dari Kreditur; </w:t>
            </w:r>
          </w:p>
        </w:tc>
      </w:tr>
      <w:tr>
        <w:tblPrEx>
          <w:tblCellMar>
            <w:top w:w="0" w:type="dxa"/>
            <w:left w:w="108" w:type="dxa"/>
            <w:bottom w:w="0" w:type="dxa"/>
            <w:right w:w="108" w:type="dxa"/>
          </w:tblCellMar>
        </w:tblPrEx>
        <w:tc>
          <w:tcPr>
            <w:tcW w:w="3686" w:type="dxa"/>
          </w:tcPr>
          <w:p>
            <w:pPr>
              <w:widowControl w:val="0"/>
              <w:spacing w:after="120"/>
              <w:jc w:val="left"/>
              <w:rPr>
                <w:rFonts w:ascii="Arial" w:hAnsi="Arial" w:cs="Arial"/>
                <w:b/>
                <w:sz w:val="21"/>
                <w:szCs w:val="21"/>
                <w:lang w:val="id-ID"/>
              </w:rPr>
            </w:pPr>
          </w:p>
        </w:tc>
        <w:tc>
          <w:tcPr>
            <w:tcW w:w="5636" w:type="dxa"/>
          </w:tcPr>
          <w:p>
            <w:pPr>
              <w:pStyle w:val="99"/>
              <w:tabs>
                <w:tab w:val="clear" w:pos="720"/>
              </w:tabs>
              <w:spacing w:after="120"/>
              <w:ind w:left="1440"/>
              <w:rPr>
                <w:rFonts w:ascii="Arial" w:hAnsi="Arial" w:cs="Arial"/>
                <w:sz w:val="21"/>
                <w:szCs w:val="21"/>
                <w:lang w:val="id-ID"/>
              </w:rPr>
            </w:pPr>
            <w:r>
              <w:rPr>
                <w:rFonts w:ascii="Arial" w:hAnsi="Arial" w:cs="Arial"/>
                <w:sz w:val="21"/>
                <w:szCs w:val="21"/>
                <w:lang w:val="id-ID"/>
              </w:rPr>
              <w:t xml:space="preserve">jika Kreditur adalah </w:t>
            </w:r>
            <w:r>
              <w:rPr>
                <w:rFonts w:ascii="Arial" w:hAnsi="Arial" w:cs="Arial"/>
                <w:sz w:val="21"/>
                <w:szCs w:val="21"/>
                <w:lang w:val="en-US"/>
              </w:rPr>
              <w:t>pengelola dana investasi (</w:t>
            </w:r>
            <w:r>
              <w:rPr>
                <w:rFonts w:ascii="Arial" w:hAnsi="Arial" w:cs="Arial"/>
                <w:i/>
                <w:iCs/>
                <w:sz w:val="21"/>
                <w:szCs w:val="21"/>
                <w:lang w:val="en-US"/>
              </w:rPr>
              <w:t>fund</w:t>
            </w:r>
            <w:r>
              <w:rPr>
                <w:rFonts w:ascii="Arial" w:hAnsi="Arial" w:cs="Arial"/>
                <w:sz w:val="21"/>
                <w:szCs w:val="21"/>
                <w:lang w:val="en-US"/>
              </w:rPr>
              <w:t>)</w:t>
            </w:r>
            <w:r>
              <w:rPr>
                <w:rFonts w:ascii="Arial" w:hAnsi="Arial" w:cs="Arial"/>
                <w:sz w:val="21"/>
                <w:szCs w:val="21"/>
                <w:lang w:val="id-ID"/>
              </w:rPr>
              <w:t xml:space="preserve">, untuk </w:t>
            </w:r>
            <w:r>
              <w:rPr>
                <w:rFonts w:ascii="Arial" w:hAnsi="Arial" w:cs="Arial"/>
                <w:sz w:val="21"/>
                <w:szCs w:val="21"/>
                <w:lang w:val="en-US"/>
              </w:rPr>
              <w:t>pengelola dana investasi (</w:t>
            </w:r>
            <w:r>
              <w:rPr>
                <w:rFonts w:ascii="Arial" w:hAnsi="Arial" w:cs="Arial"/>
                <w:i/>
                <w:iCs/>
                <w:sz w:val="21"/>
                <w:szCs w:val="21"/>
                <w:lang w:val="en-US"/>
              </w:rPr>
              <w:t>fund</w:t>
            </w:r>
            <w:r>
              <w:rPr>
                <w:rFonts w:ascii="Arial" w:hAnsi="Arial" w:cs="Arial"/>
                <w:sz w:val="21"/>
                <w:szCs w:val="21"/>
                <w:lang w:val="en-US"/>
              </w:rPr>
              <w:t>)</w:t>
            </w:r>
            <w:r>
              <w:rPr>
                <w:rFonts w:ascii="Arial" w:hAnsi="Arial" w:cs="Arial"/>
                <w:sz w:val="21"/>
                <w:szCs w:val="21"/>
                <w:lang w:val="id-ID"/>
              </w:rPr>
              <w:t xml:space="preserve"> yang merupakan Dana Terkait dari Kreditur itu;</w:t>
            </w:r>
          </w:p>
        </w:tc>
      </w:tr>
      <w:tr>
        <w:tblPrEx>
          <w:tblCellMar>
            <w:top w:w="0" w:type="dxa"/>
            <w:left w:w="108" w:type="dxa"/>
            <w:bottom w:w="0" w:type="dxa"/>
            <w:right w:w="108" w:type="dxa"/>
          </w:tblCellMar>
        </w:tblPrEx>
        <w:tc>
          <w:tcPr>
            <w:tcW w:w="3686" w:type="dxa"/>
          </w:tcPr>
          <w:p>
            <w:pPr>
              <w:widowControl w:val="0"/>
              <w:spacing w:after="120"/>
              <w:jc w:val="left"/>
              <w:rPr>
                <w:rFonts w:ascii="Arial" w:hAnsi="Arial" w:cs="Arial"/>
                <w:b/>
                <w:sz w:val="21"/>
                <w:szCs w:val="21"/>
                <w:lang w:val="id-ID"/>
              </w:rPr>
            </w:pPr>
          </w:p>
        </w:tc>
        <w:tc>
          <w:tcPr>
            <w:tcW w:w="5636" w:type="dxa"/>
          </w:tcPr>
          <w:p>
            <w:pPr>
              <w:pStyle w:val="99"/>
              <w:tabs>
                <w:tab w:val="clear" w:pos="720"/>
              </w:tabs>
              <w:spacing w:after="120"/>
              <w:ind w:left="1440"/>
              <w:rPr>
                <w:rFonts w:ascii="Arial" w:hAnsi="Arial" w:cs="Arial"/>
                <w:sz w:val="21"/>
                <w:szCs w:val="21"/>
                <w:lang w:val="id-ID"/>
              </w:rPr>
            </w:pPr>
            <w:r>
              <w:rPr>
                <w:rFonts w:ascii="Arial" w:hAnsi="Arial" w:cs="Arial"/>
                <w:sz w:val="21"/>
                <w:szCs w:val="21"/>
                <w:lang w:val="id-ID"/>
              </w:rPr>
              <w:t xml:space="preserve">dilakukan ketika Peristiwa Cedera </w:t>
            </w:r>
            <w:r>
              <w:rPr>
                <w:rFonts w:ascii="Arial" w:hAnsi="Arial" w:cs="Arial"/>
                <w:sz w:val="21"/>
                <w:szCs w:val="21"/>
                <w:lang w:val="en-US"/>
              </w:rPr>
              <w:t>J</w:t>
            </w:r>
            <w:r>
              <w:rPr>
                <w:rFonts w:ascii="Arial" w:hAnsi="Arial" w:cs="Arial"/>
                <w:sz w:val="21"/>
                <w:szCs w:val="21"/>
                <w:lang w:val="id-ID"/>
              </w:rPr>
              <w:t>anji berlanjut; [atau</w:t>
            </w:r>
          </w:p>
        </w:tc>
      </w:tr>
      <w:tr>
        <w:tblPrEx>
          <w:tblCellMar>
            <w:top w:w="0" w:type="dxa"/>
            <w:left w:w="108" w:type="dxa"/>
            <w:bottom w:w="0" w:type="dxa"/>
            <w:right w:w="108" w:type="dxa"/>
          </w:tblCellMar>
        </w:tblPrEx>
        <w:tc>
          <w:tcPr>
            <w:tcW w:w="3686" w:type="dxa"/>
          </w:tcPr>
          <w:p>
            <w:pPr>
              <w:widowControl w:val="0"/>
              <w:spacing w:after="120"/>
              <w:jc w:val="left"/>
              <w:rPr>
                <w:rFonts w:ascii="Arial" w:hAnsi="Arial" w:cs="Arial"/>
                <w:b/>
                <w:sz w:val="21"/>
                <w:szCs w:val="21"/>
                <w:lang w:val="id-ID"/>
              </w:rPr>
            </w:pPr>
          </w:p>
        </w:tc>
        <w:tc>
          <w:tcPr>
            <w:tcW w:w="5636" w:type="dxa"/>
          </w:tcPr>
          <w:p>
            <w:pPr>
              <w:pStyle w:val="99"/>
              <w:tabs>
                <w:tab w:val="clear" w:pos="720"/>
              </w:tabs>
              <w:spacing w:after="120"/>
              <w:ind w:left="1440"/>
              <w:rPr>
                <w:rFonts w:ascii="Arial" w:hAnsi="Arial" w:cs="Arial"/>
                <w:sz w:val="21"/>
                <w:szCs w:val="21"/>
                <w:lang w:val="id-ID"/>
              </w:rPr>
            </w:pPr>
            <w:r>
              <w:rPr>
                <w:rFonts w:ascii="Arial" w:hAnsi="Arial" w:cs="Arial"/>
                <w:sz w:val="21"/>
                <w:szCs w:val="21"/>
                <w:lang w:val="en-US"/>
              </w:rPr>
              <w:t>d</w:t>
            </w:r>
            <w:r>
              <w:rPr>
                <w:rFonts w:ascii="Arial" w:hAnsi="Arial" w:cs="Arial"/>
                <w:sz w:val="21"/>
                <w:szCs w:val="21"/>
                <w:lang w:val="id-ID"/>
              </w:rPr>
              <w:t>i</w:t>
            </w:r>
            <w:r>
              <w:rPr>
                <w:rFonts w:ascii="Arial" w:hAnsi="Arial" w:cs="Arial"/>
                <w:sz w:val="21"/>
                <w:szCs w:val="21"/>
                <w:lang w:val="en-US"/>
              </w:rPr>
              <w:t xml:space="preserve">lakukan </w:t>
            </w:r>
            <w:r>
              <w:rPr>
                <w:rFonts w:ascii="Arial" w:hAnsi="Arial" w:cs="Arial"/>
                <w:sz w:val="21"/>
                <w:szCs w:val="21"/>
                <w:lang w:val="id-ID"/>
              </w:rPr>
              <w:t xml:space="preserve">untuk entitas yang diidentifikasi pada daftar </w:t>
            </w:r>
            <w:r>
              <w:rPr>
                <w:rFonts w:ascii="Arial" w:hAnsi="Arial" w:cs="Arial"/>
                <w:sz w:val="21"/>
                <w:szCs w:val="21"/>
                <w:lang w:val="en-US"/>
              </w:rPr>
              <w:t>k</w:t>
            </w:r>
            <w:r>
              <w:rPr>
                <w:rFonts w:ascii="Arial" w:hAnsi="Arial" w:cs="Arial"/>
                <w:sz w:val="21"/>
                <w:szCs w:val="21"/>
                <w:lang w:val="id-ID"/>
              </w:rPr>
              <w:t>reditur baru yang telah disetujui sebelumnya (akan disetujui sebelum Tanggal Penandatanganan).</w:t>
            </w:r>
            <w:bookmarkStart w:id="229" w:name="_9kMHG5YVt7DA6GO"/>
            <w:r>
              <w:rPr>
                <w:rFonts w:ascii="Arial" w:hAnsi="Arial" w:cs="Arial"/>
                <w:sz w:val="21"/>
                <w:szCs w:val="21"/>
                <w:lang w:val="id-ID"/>
              </w:rPr>
              <w:t>]]</w:t>
            </w:r>
            <w:bookmarkEnd w:id="229"/>
          </w:p>
        </w:tc>
      </w:tr>
      <w:tr>
        <w:tblPrEx>
          <w:tblCellMar>
            <w:top w:w="0" w:type="dxa"/>
            <w:left w:w="108" w:type="dxa"/>
            <w:bottom w:w="0" w:type="dxa"/>
            <w:right w:w="108" w:type="dxa"/>
          </w:tblCellMar>
        </w:tblPrEx>
        <w:tc>
          <w:tcPr>
            <w:tcW w:w="3686" w:type="dxa"/>
          </w:tcPr>
          <w:p>
            <w:pPr>
              <w:pStyle w:val="105"/>
              <w:keepNext w:val="0"/>
              <w:tabs>
                <w:tab w:val="clear" w:pos="720"/>
              </w:tabs>
              <w:spacing w:after="120"/>
              <w:jc w:val="both"/>
              <w:rPr>
                <w:rFonts w:ascii="Arial" w:hAnsi="Arial" w:cs="Arial"/>
                <w:b w:val="0"/>
                <w:sz w:val="21"/>
                <w:szCs w:val="21"/>
                <w:lang w:val="id-ID"/>
              </w:rPr>
            </w:pPr>
            <w:bookmarkStart w:id="230" w:name="_Toc74557568"/>
            <w:bookmarkStart w:id="231" w:name="_Toc74860714"/>
            <w:r>
              <w:rPr>
                <w:rFonts w:ascii="Arial" w:hAnsi="Arial" w:cs="Arial"/>
                <w:sz w:val="21"/>
                <w:szCs w:val="21"/>
                <w:lang w:val="id-ID"/>
              </w:rPr>
              <w:t>[Penggantian Kreditur:</w:t>
            </w:r>
            <w:bookmarkEnd w:id="230"/>
            <w:bookmarkEnd w:id="231"/>
          </w:p>
        </w:tc>
        <w:tc>
          <w:tcPr>
            <w:tcW w:w="5636" w:type="dxa"/>
          </w:tcPr>
          <w:p>
            <w:pPr>
              <w:pStyle w:val="3"/>
              <w:widowControl w:val="0"/>
              <w:spacing w:after="120"/>
              <w:ind w:left="0"/>
              <w:rPr>
                <w:rFonts w:ascii="Arial" w:hAnsi="Arial" w:cs="Arial"/>
                <w:sz w:val="21"/>
                <w:szCs w:val="21"/>
                <w:lang w:val="id-ID"/>
              </w:rPr>
            </w:pPr>
            <w:r>
              <w:rPr>
                <w:rFonts w:ascii="Arial" w:hAnsi="Arial" w:cs="Arial"/>
                <w:sz w:val="21"/>
                <w:szCs w:val="21"/>
                <w:lang w:val="id-ID"/>
              </w:rPr>
              <w:t>Suatu mekanisme akan dimasukkan dalam Dokumen-dokumen Pembiayaan berdasarkan mana Perusahaan Proyek dapat, dengan syarat-syarat tertentu, mengganti:</w:t>
            </w:r>
          </w:p>
        </w:tc>
      </w:tr>
      <w:tr>
        <w:tblPrEx>
          <w:tblCellMar>
            <w:top w:w="0" w:type="dxa"/>
            <w:left w:w="108" w:type="dxa"/>
            <w:bottom w:w="0" w:type="dxa"/>
            <w:right w:w="108" w:type="dxa"/>
          </w:tblCellMar>
        </w:tblPrEx>
        <w:tc>
          <w:tcPr>
            <w:tcW w:w="3686" w:type="dxa"/>
          </w:tcPr>
          <w:p>
            <w:pPr>
              <w:pStyle w:val="3"/>
              <w:widowControl w:val="0"/>
              <w:spacing w:after="120"/>
              <w:ind w:left="0"/>
              <w:rPr>
                <w:rFonts w:ascii="Arial" w:hAnsi="Arial" w:cs="Arial"/>
                <w:sz w:val="21"/>
                <w:szCs w:val="21"/>
                <w:lang w:val="id-ID"/>
              </w:rPr>
            </w:pPr>
          </w:p>
        </w:tc>
        <w:tc>
          <w:tcPr>
            <w:tcW w:w="5636" w:type="dxa"/>
          </w:tcPr>
          <w:p>
            <w:pPr>
              <w:pStyle w:val="57"/>
              <w:widowControl w:val="0"/>
              <w:numPr>
                <w:ilvl w:val="1"/>
                <w:numId w:val="44"/>
              </w:numPr>
              <w:tabs>
                <w:tab w:val="clear" w:pos="720"/>
              </w:tabs>
              <w:spacing w:after="120"/>
              <w:rPr>
                <w:rFonts w:ascii="Arial" w:hAnsi="Arial" w:cs="Arial"/>
                <w:sz w:val="21"/>
                <w:szCs w:val="21"/>
                <w:lang w:val="id-ID"/>
              </w:rPr>
            </w:pPr>
            <w:r>
              <w:rPr>
                <w:rFonts w:ascii="Arial" w:hAnsi="Arial" w:cs="Arial"/>
                <w:sz w:val="21"/>
                <w:szCs w:val="21"/>
                <w:lang w:val="id-ID"/>
              </w:rPr>
              <w:t>Kreditur yang belum menyetujui pen</w:t>
            </w:r>
            <w:r>
              <w:rPr>
                <w:rFonts w:ascii="Arial" w:hAnsi="Arial" w:cs="Arial"/>
                <w:sz w:val="21"/>
                <w:szCs w:val="21"/>
                <w:lang w:val="en-US"/>
              </w:rPr>
              <w:t xml:space="preserve">yampingan </w:t>
            </w:r>
            <w:r>
              <w:rPr>
                <w:rFonts w:ascii="Arial" w:hAnsi="Arial" w:cs="Arial"/>
                <w:sz w:val="21"/>
                <w:szCs w:val="21"/>
                <w:lang w:val="id-ID"/>
              </w:rPr>
              <w:t xml:space="preserve">atau </w:t>
            </w:r>
            <w:r>
              <w:rPr>
                <w:rFonts w:ascii="Arial" w:hAnsi="Arial" w:cs="Arial"/>
                <w:sz w:val="21"/>
                <w:szCs w:val="21"/>
                <w:lang w:val="en-US"/>
              </w:rPr>
              <w:t xml:space="preserve">perubahan </w:t>
            </w:r>
            <w:r>
              <w:rPr>
                <w:rFonts w:ascii="Arial" w:hAnsi="Arial" w:cs="Arial"/>
                <w:sz w:val="21"/>
                <w:szCs w:val="21"/>
                <w:lang w:val="id-ID"/>
              </w:rPr>
              <w:t xml:space="preserve">yang memerlukan persetujuan dari semua </w:t>
            </w:r>
            <w:r>
              <w:rPr>
                <w:rFonts w:ascii="Arial" w:hAnsi="Arial" w:cs="Arial"/>
                <w:sz w:val="21"/>
                <w:szCs w:val="21"/>
                <w:lang w:val="en-US"/>
              </w:rPr>
              <w:t xml:space="preserve">Para </w:t>
            </w:r>
            <w:r>
              <w:rPr>
                <w:rFonts w:ascii="Arial" w:hAnsi="Arial" w:cs="Arial"/>
                <w:sz w:val="21"/>
                <w:szCs w:val="21"/>
                <w:lang w:val="id-ID"/>
              </w:rPr>
              <w:t xml:space="preserve">Kreditur dan dimana </w:t>
            </w:r>
            <w:r>
              <w:rPr>
                <w:rFonts w:ascii="Arial" w:hAnsi="Arial" w:cs="Arial"/>
                <w:sz w:val="21"/>
                <w:szCs w:val="21"/>
                <w:lang w:val="en-US"/>
              </w:rPr>
              <w:t xml:space="preserve">Para </w:t>
            </w:r>
            <w:r>
              <w:rPr>
                <w:rFonts w:ascii="Arial" w:hAnsi="Arial" w:cs="Arial"/>
                <w:sz w:val="21"/>
                <w:szCs w:val="21"/>
                <w:lang w:val="id-ID"/>
              </w:rPr>
              <w:t xml:space="preserve">Kreditur yang memegang </w:t>
            </w:r>
            <w:r>
              <w:rPr>
                <w:rFonts w:ascii="Arial" w:hAnsi="Arial" w:cs="Arial"/>
                <w:sz w:val="21"/>
                <w:szCs w:val="21"/>
                <w:lang w:val="en-US"/>
              </w:rPr>
              <w:t xml:space="preserve">keseluruhan </w:t>
            </w:r>
            <w:r>
              <w:rPr>
                <w:rFonts w:ascii="Arial" w:hAnsi="Arial" w:cs="Arial"/>
                <w:sz w:val="21"/>
                <w:szCs w:val="21"/>
                <w:lang w:val="id-ID"/>
              </w:rPr>
              <w:t>[</w:t>
            </w:r>
            <w:bookmarkStart w:id="232" w:name="_9kMLCN7ZVw9A67AB"/>
            <w:bookmarkStart w:id="233" w:name="_9kMLCP6ZWu9A67EI"/>
            <w:r>
              <w:rPr>
                <w:rFonts w:ascii="Arial" w:hAnsi="Arial" w:cs="Arial"/>
                <w:sz w:val="21"/>
                <w:szCs w:val="21"/>
                <w:lang w:val="id-ID"/>
              </w:rPr>
              <w:t>•</w:t>
            </w:r>
            <w:bookmarkEnd w:id="232"/>
            <w:bookmarkEnd w:id="233"/>
            <w:r>
              <w:rPr>
                <w:rFonts w:ascii="Arial" w:hAnsi="Arial" w:cs="Arial"/>
                <w:sz w:val="21"/>
                <w:szCs w:val="21"/>
                <w:lang w:val="id-ID"/>
              </w:rPr>
              <w:t>]%</w:t>
            </w:r>
            <w:r>
              <w:rPr>
                <w:rFonts w:ascii="Arial" w:hAnsi="Arial" w:cs="Arial"/>
                <w:sz w:val="21"/>
                <w:szCs w:val="21"/>
                <w:lang w:val="en-US"/>
              </w:rPr>
              <w:t xml:space="preserve"> </w:t>
            </w:r>
            <w:r>
              <w:rPr>
                <w:rFonts w:ascii="Arial" w:hAnsi="Arial" w:cs="Arial"/>
                <w:sz w:val="21"/>
                <w:szCs w:val="21"/>
                <w:lang w:val="id-ID"/>
              </w:rPr>
              <w:t xml:space="preserve">dari </w:t>
            </w:r>
            <w:r>
              <w:rPr>
                <w:rFonts w:ascii="Arial" w:hAnsi="Arial" w:cs="Arial"/>
                <w:sz w:val="21"/>
                <w:szCs w:val="21"/>
                <w:lang w:val="en-US"/>
              </w:rPr>
              <w:t>Komitmen-</w:t>
            </w:r>
            <w:r>
              <w:rPr>
                <w:rFonts w:ascii="Arial" w:hAnsi="Arial" w:cs="Arial"/>
                <w:sz w:val="21"/>
                <w:szCs w:val="21"/>
                <w:lang w:val="id-ID"/>
              </w:rPr>
              <w:t>Komitmen</w:t>
            </w:r>
            <w:r>
              <w:rPr>
                <w:rFonts w:ascii="Arial" w:hAnsi="Arial" w:cs="Arial"/>
                <w:sz w:val="21"/>
                <w:szCs w:val="21"/>
                <w:lang w:val="en-US"/>
              </w:rPr>
              <w:t xml:space="preserve"> Total</w:t>
            </w:r>
            <w:r>
              <w:rPr>
                <w:rFonts w:ascii="Arial" w:hAnsi="Arial" w:cs="Arial"/>
                <w:sz w:val="21"/>
                <w:szCs w:val="21"/>
                <w:lang w:val="id-ID"/>
              </w:rPr>
              <w:t xml:space="preserve"> telah menyetujuinya; dan/atau</w:t>
            </w:r>
          </w:p>
        </w:tc>
      </w:tr>
      <w:tr>
        <w:tblPrEx>
          <w:tblCellMar>
            <w:top w:w="0" w:type="dxa"/>
            <w:left w:w="108" w:type="dxa"/>
            <w:bottom w:w="0" w:type="dxa"/>
            <w:right w:w="108" w:type="dxa"/>
          </w:tblCellMar>
        </w:tblPrEx>
        <w:tc>
          <w:tcPr>
            <w:tcW w:w="3686" w:type="dxa"/>
          </w:tcPr>
          <w:p>
            <w:pPr>
              <w:pStyle w:val="3"/>
              <w:widowControl w:val="0"/>
              <w:spacing w:after="120"/>
              <w:ind w:left="0"/>
              <w:rPr>
                <w:rFonts w:ascii="Arial" w:hAnsi="Arial" w:cs="Arial"/>
                <w:sz w:val="21"/>
                <w:szCs w:val="21"/>
                <w:lang w:val="id-ID"/>
              </w:rPr>
            </w:pPr>
          </w:p>
        </w:tc>
        <w:tc>
          <w:tcPr>
            <w:tcW w:w="5636" w:type="dxa"/>
          </w:tcPr>
          <w:p>
            <w:pPr>
              <w:pStyle w:val="57"/>
              <w:widowControl w:val="0"/>
              <w:numPr>
                <w:ilvl w:val="1"/>
                <w:numId w:val="44"/>
              </w:numPr>
              <w:tabs>
                <w:tab w:val="clear" w:pos="720"/>
              </w:tabs>
              <w:spacing w:after="120"/>
              <w:rPr>
                <w:rFonts w:ascii="Arial" w:hAnsi="Arial" w:cs="Arial"/>
                <w:sz w:val="21"/>
                <w:szCs w:val="21"/>
                <w:lang w:val="id-ID"/>
              </w:rPr>
            </w:pPr>
            <w:r>
              <w:rPr>
                <w:rFonts w:ascii="Arial" w:hAnsi="Arial" w:cs="Arial"/>
                <w:sz w:val="21"/>
                <w:szCs w:val="21"/>
                <w:lang w:val="id-ID"/>
              </w:rPr>
              <w:t xml:space="preserve">Kreditur di mana Perusahaan Proyek berkewajiban untuk membayar jumlah yang sesuai dengan </w:t>
            </w:r>
            <w:r>
              <w:rPr>
                <w:rFonts w:ascii="Arial" w:hAnsi="Arial" w:cs="Arial"/>
                <w:sz w:val="21"/>
                <w:szCs w:val="21"/>
                <w:lang w:val="en-US"/>
              </w:rPr>
              <w:t>pelanggaran hukum</w:t>
            </w:r>
            <w:r>
              <w:rPr>
                <w:rFonts w:ascii="Arial" w:hAnsi="Arial" w:cs="Arial"/>
                <w:sz w:val="21"/>
                <w:szCs w:val="21"/>
                <w:lang w:val="id-ID"/>
              </w:rPr>
              <w:t xml:space="preserve">, peningkatan biaya atau ketentuan pajak bruto melebihi jumlah yang harus dibayarkan kepada </w:t>
            </w:r>
            <w:r>
              <w:rPr>
                <w:rFonts w:ascii="Arial" w:hAnsi="Arial" w:cs="Arial"/>
                <w:sz w:val="21"/>
                <w:szCs w:val="21"/>
                <w:lang w:val="en-US"/>
              </w:rPr>
              <w:t xml:space="preserve">Para </w:t>
            </w:r>
            <w:r>
              <w:rPr>
                <w:rFonts w:ascii="Arial" w:hAnsi="Arial" w:cs="Arial"/>
                <w:sz w:val="21"/>
                <w:szCs w:val="21"/>
                <w:lang w:val="id-ID"/>
              </w:rPr>
              <w:t>Kreditur lain pada umumnya.]</w:t>
            </w:r>
          </w:p>
        </w:tc>
      </w:tr>
      <w:tr>
        <w:tblPrEx>
          <w:tblCellMar>
            <w:top w:w="0" w:type="dxa"/>
            <w:left w:w="108" w:type="dxa"/>
            <w:bottom w:w="0" w:type="dxa"/>
            <w:right w:w="108" w:type="dxa"/>
          </w:tblCellMar>
        </w:tblPrEx>
        <w:tc>
          <w:tcPr>
            <w:tcW w:w="3686" w:type="dxa"/>
          </w:tcPr>
          <w:p>
            <w:pPr>
              <w:pStyle w:val="105"/>
              <w:keepNext w:val="0"/>
              <w:tabs>
                <w:tab w:val="clear" w:pos="720"/>
              </w:tabs>
              <w:spacing w:after="120"/>
              <w:jc w:val="both"/>
              <w:rPr>
                <w:rFonts w:ascii="Arial" w:hAnsi="Arial" w:cs="Arial"/>
                <w:b w:val="0"/>
                <w:sz w:val="21"/>
                <w:szCs w:val="21"/>
                <w:lang w:val="id-ID"/>
              </w:rPr>
            </w:pPr>
            <w:bookmarkStart w:id="234" w:name="_Toc74860715"/>
            <w:bookmarkStart w:id="235" w:name="_Toc74557569"/>
            <w:r>
              <w:rPr>
                <w:rFonts w:ascii="Arial" w:hAnsi="Arial" w:cs="Arial"/>
                <w:sz w:val="21"/>
                <w:szCs w:val="21"/>
                <w:lang w:val="id-ID"/>
              </w:rPr>
              <w:t xml:space="preserve">Para Kreditur </w:t>
            </w:r>
            <w:r>
              <w:rPr>
                <w:rFonts w:ascii="Arial" w:hAnsi="Arial" w:cs="Arial"/>
                <w:sz w:val="21"/>
                <w:szCs w:val="21"/>
                <w:lang w:val="en-US"/>
              </w:rPr>
              <w:t>Y</w:t>
            </w:r>
            <w:r>
              <w:rPr>
                <w:rFonts w:ascii="Arial" w:hAnsi="Arial" w:cs="Arial"/>
                <w:sz w:val="21"/>
                <w:szCs w:val="21"/>
                <w:lang w:val="id-ID"/>
              </w:rPr>
              <w:t xml:space="preserve">ang Cedera </w:t>
            </w:r>
            <w:r>
              <w:rPr>
                <w:rFonts w:ascii="Arial" w:hAnsi="Arial" w:cs="Arial"/>
                <w:sz w:val="21"/>
                <w:szCs w:val="21"/>
                <w:lang w:val="en-US"/>
              </w:rPr>
              <w:t>J</w:t>
            </w:r>
            <w:r>
              <w:rPr>
                <w:rFonts w:ascii="Arial" w:hAnsi="Arial" w:cs="Arial"/>
                <w:sz w:val="21"/>
                <w:szCs w:val="21"/>
                <w:lang w:val="id-ID"/>
              </w:rPr>
              <w:t>anji:</w:t>
            </w:r>
            <w:bookmarkEnd w:id="234"/>
            <w:bookmarkEnd w:id="235"/>
          </w:p>
        </w:tc>
        <w:tc>
          <w:tcPr>
            <w:tcW w:w="5636" w:type="dxa"/>
          </w:tcPr>
          <w:p>
            <w:pPr>
              <w:pStyle w:val="3"/>
              <w:widowControl w:val="0"/>
              <w:spacing w:after="120"/>
              <w:ind w:left="0"/>
              <w:rPr>
                <w:rFonts w:ascii="Arial" w:hAnsi="Arial" w:cs="Arial"/>
                <w:b/>
                <w:bCs/>
                <w:sz w:val="21"/>
                <w:szCs w:val="21"/>
                <w:lang w:val="id-ID"/>
              </w:rPr>
            </w:pPr>
            <w:r>
              <w:rPr>
                <w:rFonts w:ascii="Arial" w:hAnsi="Arial" w:cs="Arial"/>
                <w:sz w:val="21"/>
                <w:szCs w:val="21"/>
                <w:lang w:val="id-ID"/>
              </w:rPr>
              <w:t xml:space="preserve">Dokumen-dokumen Pembiayaan akan berisi ketentuan yang direkomendasikan Asosiasi Pasar Pinjaman terkait dengan: </w:t>
            </w:r>
          </w:p>
        </w:tc>
      </w:tr>
      <w:tr>
        <w:tblPrEx>
          <w:tblCellMar>
            <w:top w:w="0" w:type="dxa"/>
            <w:left w:w="108" w:type="dxa"/>
            <w:bottom w:w="0" w:type="dxa"/>
            <w:right w:w="108" w:type="dxa"/>
          </w:tblCellMar>
        </w:tblPrEx>
        <w:tc>
          <w:tcPr>
            <w:tcW w:w="3686" w:type="dxa"/>
          </w:tcPr>
          <w:p>
            <w:pPr>
              <w:pStyle w:val="105"/>
              <w:keepNext w:val="0"/>
              <w:numPr>
                <w:ilvl w:val="0"/>
                <w:numId w:val="0"/>
              </w:numPr>
              <w:spacing w:after="120"/>
              <w:ind w:left="720"/>
              <w:jc w:val="both"/>
              <w:rPr>
                <w:rFonts w:ascii="Arial" w:hAnsi="Arial" w:cs="Arial"/>
                <w:sz w:val="21"/>
                <w:szCs w:val="21"/>
                <w:lang w:val="id-ID"/>
              </w:rPr>
            </w:pPr>
          </w:p>
        </w:tc>
        <w:tc>
          <w:tcPr>
            <w:tcW w:w="5636" w:type="dxa"/>
          </w:tcPr>
          <w:p>
            <w:pPr>
              <w:pStyle w:val="57"/>
              <w:widowControl w:val="0"/>
              <w:numPr>
                <w:ilvl w:val="1"/>
                <w:numId w:val="45"/>
              </w:numPr>
              <w:tabs>
                <w:tab w:val="clear" w:pos="720"/>
              </w:tabs>
              <w:spacing w:after="120"/>
              <w:rPr>
                <w:rFonts w:ascii="Arial" w:hAnsi="Arial" w:cs="Arial"/>
                <w:sz w:val="21"/>
                <w:szCs w:val="21"/>
                <w:lang w:val="id-ID"/>
              </w:rPr>
            </w:pPr>
            <w:r>
              <w:rPr>
                <w:rFonts w:ascii="Arial" w:hAnsi="Arial" w:cs="Arial"/>
                <w:sz w:val="21"/>
                <w:szCs w:val="21"/>
                <w:lang w:val="en-US"/>
              </w:rPr>
              <w:t xml:space="preserve">Para </w:t>
            </w:r>
            <w:r>
              <w:rPr>
                <w:rFonts w:ascii="Arial" w:hAnsi="Arial" w:cs="Arial"/>
                <w:sz w:val="21"/>
                <w:szCs w:val="21"/>
                <w:lang w:val="id-ID"/>
              </w:rPr>
              <w:t xml:space="preserve">Kreditur </w:t>
            </w:r>
            <w:r>
              <w:rPr>
                <w:rFonts w:ascii="Arial" w:hAnsi="Arial" w:cs="Arial"/>
                <w:sz w:val="21"/>
                <w:szCs w:val="21"/>
                <w:lang w:val="en-US"/>
              </w:rPr>
              <w:t>Y</w:t>
            </w:r>
            <w:r>
              <w:rPr>
                <w:rFonts w:ascii="Arial" w:hAnsi="Arial" w:cs="Arial"/>
                <w:sz w:val="21"/>
                <w:szCs w:val="21"/>
                <w:lang w:val="id-ID"/>
              </w:rPr>
              <w:t xml:space="preserve">ang Cedera </w:t>
            </w:r>
            <w:r>
              <w:rPr>
                <w:rFonts w:ascii="Arial" w:hAnsi="Arial" w:cs="Arial"/>
                <w:sz w:val="21"/>
                <w:szCs w:val="21"/>
                <w:lang w:val="en-US"/>
              </w:rPr>
              <w:t>J</w:t>
            </w:r>
            <w:r>
              <w:rPr>
                <w:rFonts w:ascii="Arial" w:hAnsi="Arial" w:cs="Arial"/>
                <w:sz w:val="21"/>
                <w:szCs w:val="21"/>
                <w:lang w:val="id-ID"/>
              </w:rPr>
              <w:t>anji, yang akan mencakup hak untuk membatalkan komitmen</w:t>
            </w:r>
            <w:r>
              <w:rPr>
                <w:rFonts w:ascii="Arial" w:hAnsi="Arial" w:cs="Arial"/>
                <w:sz w:val="21"/>
                <w:szCs w:val="21"/>
                <w:lang w:val="en-US"/>
              </w:rPr>
              <w:t>-</w:t>
            </w:r>
            <w:r>
              <w:rPr>
                <w:rFonts w:ascii="Arial" w:hAnsi="Arial" w:cs="Arial"/>
                <w:sz w:val="21"/>
                <w:szCs w:val="21"/>
                <w:lang w:val="id-ID"/>
              </w:rPr>
              <w:t xml:space="preserve">komitmen, pencabutan hak Kreditur </w:t>
            </w:r>
            <w:r>
              <w:rPr>
                <w:rFonts w:ascii="Arial" w:hAnsi="Arial" w:cs="Arial"/>
                <w:sz w:val="21"/>
                <w:szCs w:val="21"/>
                <w:lang w:val="en-US"/>
              </w:rPr>
              <w:t>Y</w:t>
            </w:r>
            <w:r>
              <w:rPr>
                <w:rFonts w:ascii="Arial" w:hAnsi="Arial" w:cs="Arial"/>
                <w:sz w:val="21"/>
                <w:szCs w:val="21"/>
                <w:lang w:val="id-ID"/>
              </w:rPr>
              <w:t xml:space="preserve">ang Cedera </w:t>
            </w:r>
            <w:r>
              <w:rPr>
                <w:rFonts w:ascii="Arial" w:hAnsi="Arial" w:cs="Arial"/>
                <w:sz w:val="21"/>
                <w:szCs w:val="21"/>
                <w:lang w:val="en-US"/>
              </w:rPr>
              <w:t>J</w:t>
            </w:r>
            <w:r>
              <w:rPr>
                <w:rFonts w:ascii="Arial" w:hAnsi="Arial" w:cs="Arial"/>
                <w:sz w:val="21"/>
                <w:szCs w:val="21"/>
                <w:lang w:val="id-ID"/>
              </w:rPr>
              <w:t>anji [dan hak penggantian]</w:t>
            </w:r>
            <w:r>
              <w:rPr>
                <w:rStyle w:val="25"/>
                <w:rFonts w:ascii="Arial" w:hAnsi="Arial" w:cs="Arial"/>
                <w:sz w:val="21"/>
                <w:szCs w:val="21"/>
                <w:lang w:val="id-ID"/>
              </w:rPr>
              <w:footnoteReference w:id="156"/>
            </w:r>
            <w:r>
              <w:rPr>
                <w:rFonts w:ascii="Arial" w:hAnsi="Arial" w:cs="Arial"/>
                <w:sz w:val="21"/>
                <w:szCs w:val="21"/>
                <w:lang w:val="id-ID"/>
              </w:rPr>
              <w:t>; dan</w:t>
            </w:r>
          </w:p>
        </w:tc>
      </w:tr>
      <w:tr>
        <w:tblPrEx>
          <w:tblCellMar>
            <w:top w:w="0" w:type="dxa"/>
            <w:left w:w="108" w:type="dxa"/>
            <w:bottom w:w="0" w:type="dxa"/>
            <w:right w:w="108" w:type="dxa"/>
          </w:tblCellMar>
        </w:tblPrEx>
        <w:tc>
          <w:tcPr>
            <w:tcW w:w="3686" w:type="dxa"/>
          </w:tcPr>
          <w:p>
            <w:pPr>
              <w:pStyle w:val="105"/>
              <w:keepNext w:val="0"/>
              <w:numPr>
                <w:ilvl w:val="0"/>
                <w:numId w:val="0"/>
              </w:numPr>
              <w:spacing w:after="120"/>
              <w:ind w:left="720"/>
              <w:jc w:val="both"/>
              <w:rPr>
                <w:rFonts w:ascii="Arial" w:hAnsi="Arial" w:cs="Arial"/>
                <w:sz w:val="21"/>
                <w:szCs w:val="21"/>
                <w:lang w:val="id-ID"/>
              </w:rPr>
            </w:pPr>
          </w:p>
        </w:tc>
        <w:tc>
          <w:tcPr>
            <w:tcW w:w="5636" w:type="dxa"/>
          </w:tcPr>
          <w:p>
            <w:pPr>
              <w:pStyle w:val="57"/>
              <w:widowControl w:val="0"/>
              <w:numPr>
                <w:ilvl w:val="1"/>
                <w:numId w:val="45"/>
              </w:numPr>
              <w:tabs>
                <w:tab w:val="clear" w:pos="720"/>
              </w:tabs>
              <w:spacing w:after="120"/>
              <w:rPr>
                <w:rFonts w:ascii="Arial" w:hAnsi="Arial" w:cs="Arial"/>
                <w:sz w:val="21"/>
                <w:szCs w:val="21"/>
                <w:lang w:val="en-US"/>
              </w:rPr>
            </w:pPr>
            <w:r>
              <w:rPr>
                <w:rFonts w:ascii="Arial" w:hAnsi="Arial" w:cs="Arial"/>
                <w:sz w:val="21"/>
                <w:szCs w:val="21"/>
                <w:lang w:val="en-US"/>
              </w:rPr>
              <w:t>A</w:t>
            </w:r>
            <w:r>
              <w:rPr>
                <w:rFonts w:ascii="Arial" w:hAnsi="Arial" w:cs="Arial"/>
                <w:sz w:val="21"/>
                <w:szCs w:val="21"/>
                <w:lang w:val="id-ID"/>
              </w:rPr>
              <w:t>gen</w:t>
            </w:r>
            <w:r>
              <w:rPr>
                <w:rFonts w:ascii="Arial" w:hAnsi="Arial" w:cs="Arial"/>
                <w:sz w:val="21"/>
                <w:szCs w:val="21"/>
                <w:lang w:val="en-US"/>
              </w:rPr>
              <w:t>-agen</w:t>
            </w:r>
            <w:r>
              <w:rPr>
                <w:rFonts w:ascii="Arial" w:hAnsi="Arial" w:cs="Arial"/>
                <w:sz w:val="21"/>
                <w:szCs w:val="21"/>
                <w:lang w:val="id-ID"/>
              </w:rPr>
              <w:t xml:space="preserve"> </w:t>
            </w:r>
            <w:r>
              <w:rPr>
                <w:rFonts w:ascii="Arial" w:hAnsi="Arial" w:cs="Arial"/>
                <w:sz w:val="21"/>
                <w:szCs w:val="21"/>
                <w:lang w:val="en-US"/>
              </w:rPr>
              <w:t>Terkendala</w:t>
            </w:r>
            <w:r>
              <w:rPr>
                <w:rFonts w:ascii="Arial" w:hAnsi="Arial" w:cs="Arial"/>
                <w:sz w:val="21"/>
                <w:szCs w:val="21"/>
                <w:lang w:val="id-ID"/>
              </w:rPr>
              <w:t xml:space="preserve">, yang akan mencakup hak penggantian </w:t>
            </w:r>
            <w:r>
              <w:rPr>
                <w:rFonts w:ascii="Arial" w:hAnsi="Arial" w:cs="Arial"/>
                <w:sz w:val="21"/>
                <w:szCs w:val="21"/>
                <w:lang w:val="en-US"/>
              </w:rPr>
              <w:t>para k</w:t>
            </w:r>
            <w:r>
              <w:rPr>
                <w:rFonts w:ascii="Arial" w:hAnsi="Arial" w:cs="Arial"/>
                <w:sz w:val="21"/>
                <w:szCs w:val="21"/>
                <w:lang w:val="id-ID"/>
              </w:rPr>
              <w:t>reditur dan ketentuan</w:t>
            </w:r>
            <w:r>
              <w:rPr>
                <w:rFonts w:ascii="Arial" w:hAnsi="Arial" w:cs="Arial"/>
                <w:sz w:val="21"/>
                <w:szCs w:val="21"/>
                <w:lang w:val="en-US"/>
              </w:rPr>
              <w:t>-</w:t>
            </w:r>
            <w:r>
              <w:rPr>
                <w:rFonts w:ascii="Arial" w:hAnsi="Arial" w:cs="Arial"/>
                <w:sz w:val="21"/>
                <w:szCs w:val="21"/>
                <w:lang w:val="id-ID"/>
              </w:rPr>
              <w:t>ketentuan pembayaran alternatif.</w:t>
            </w:r>
          </w:p>
        </w:tc>
      </w:tr>
    </w:tbl>
    <w:p>
      <w:pPr>
        <w:pStyle w:val="107"/>
        <w:pageBreakBefore/>
        <w:spacing w:after="120"/>
        <w:rPr>
          <w:rFonts w:ascii="Arial" w:hAnsi="Arial" w:cs="Arial"/>
          <w:sz w:val="21"/>
          <w:szCs w:val="21"/>
          <w:lang w:val="id-ID"/>
        </w:rPr>
      </w:pPr>
      <w:bookmarkStart w:id="236" w:name="_Toc74860716"/>
      <w:bookmarkStart w:id="237" w:name="_Toc74557570"/>
      <w:r>
        <w:rPr>
          <w:rFonts w:ascii="Arial" w:hAnsi="Arial" w:cs="Arial"/>
          <w:sz w:val="21"/>
          <w:szCs w:val="21"/>
          <w:lang w:val="id-ID"/>
        </w:rPr>
        <w:t>PR</w:t>
      </w:r>
      <w:r>
        <w:rPr>
          <w:rFonts w:ascii="Arial" w:hAnsi="Arial" w:cs="Arial"/>
          <w:sz w:val="21"/>
          <w:szCs w:val="21"/>
          <w:lang w:val="en-US"/>
        </w:rPr>
        <w:t>ASYARAT PENDAHULUAN</w:t>
      </w:r>
      <w:bookmarkEnd w:id="236"/>
      <w:bookmarkEnd w:id="237"/>
    </w:p>
    <w:tbl>
      <w:tblPr>
        <w:tblStyle w:val="17"/>
        <w:tblW w:w="5000" w:type="pct"/>
        <w:tblInd w:w="0" w:type="dxa"/>
        <w:tblLayout w:type="fixed"/>
        <w:tblCellMar>
          <w:top w:w="0" w:type="dxa"/>
          <w:left w:w="108" w:type="dxa"/>
          <w:bottom w:w="0" w:type="dxa"/>
          <w:right w:w="108" w:type="dxa"/>
        </w:tblCellMar>
      </w:tblPr>
      <w:tblGrid>
        <w:gridCol w:w="3517"/>
        <w:gridCol w:w="5366"/>
      </w:tblGrid>
      <w:tr>
        <w:tblPrEx>
          <w:tblCellMar>
            <w:top w:w="0" w:type="dxa"/>
            <w:left w:w="108" w:type="dxa"/>
            <w:bottom w:w="0" w:type="dxa"/>
            <w:right w:w="108" w:type="dxa"/>
          </w:tblCellMar>
        </w:tblPrEx>
        <w:trPr>
          <w:trHeight w:val="639" w:hRule="atLeast"/>
        </w:trPr>
        <w:tc>
          <w:tcPr>
            <w:tcW w:w="3431" w:type="dxa"/>
          </w:tcPr>
          <w:p>
            <w:pPr>
              <w:pStyle w:val="105"/>
              <w:keepNext w:val="0"/>
              <w:tabs>
                <w:tab w:val="clear" w:pos="720"/>
              </w:tabs>
              <w:spacing w:after="120"/>
              <w:jc w:val="both"/>
              <w:rPr>
                <w:rFonts w:ascii="Arial" w:hAnsi="Arial" w:cs="Arial"/>
                <w:b w:val="0"/>
                <w:sz w:val="21"/>
                <w:szCs w:val="21"/>
                <w:lang w:val="id-ID"/>
              </w:rPr>
            </w:pPr>
            <w:bookmarkStart w:id="238" w:name="_Toc74557571"/>
            <w:bookmarkStart w:id="239" w:name="_Toc74860717"/>
            <w:bookmarkStart w:id="240" w:name="_Ref36227973"/>
            <w:r>
              <w:rPr>
                <w:rFonts w:ascii="Arial" w:hAnsi="Arial" w:cs="Arial"/>
                <w:sz w:val="21"/>
                <w:szCs w:val="21"/>
                <w:lang w:val="en-US"/>
              </w:rPr>
              <w:t>Prasyarat Pendahuluan</w:t>
            </w:r>
            <w:r>
              <w:rPr>
                <w:rFonts w:ascii="Arial" w:hAnsi="Arial" w:cs="Arial"/>
                <w:sz w:val="21"/>
                <w:szCs w:val="21"/>
                <w:lang w:val="id-ID"/>
              </w:rPr>
              <w:t xml:space="preserve"> untuk penarikan pertama</w:t>
            </w:r>
            <w:bookmarkStart w:id="241" w:name="_Ref48281156"/>
            <w:r>
              <w:rPr>
                <w:rStyle w:val="25"/>
                <w:rFonts w:ascii="Arial" w:hAnsi="Arial" w:cs="Arial"/>
                <w:sz w:val="21"/>
                <w:szCs w:val="21"/>
                <w:lang w:val="id-ID"/>
              </w:rPr>
              <w:t xml:space="preserve"> </w:t>
            </w:r>
            <w:r>
              <w:rPr>
                <w:rStyle w:val="25"/>
                <w:rFonts w:ascii="Arial" w:hAnsi="Arial" w:cs="Arial"/>
                <w:b w:val="0"/>
                <w:sz w:val="21"/>
                <w:szCs w:val="21"/>
                <w:lang w:val="id-ID"/>
              </w:rPr>
              <w:footnoteReference w:id="157"/>
            </w:r>
            <w:bookmarkEnd w:id="241"/>
            <w:r>
              <w:rPr>
                <w:rFonts w:ascii="Arial" w:hAnsi="Arial" w:cs="Arial"/>
                <w:sz w:val="21"/>
                <w:szCs w:val="21"/>
                <w:lang w:val="id-ID"/>
              </w:rPr>
              <w:t xml:space="preserve"> </w:t>
            </w:r>
            <w:r>
              <w:rPr>
                <w:rStyle w:val="25"/>
                <w:rFonts w:ascii="Arial" w:hAnsi="Arial" w:cs="Arial"/>
                <w:b w:val="0"/>
                <w:bCs/>
                <w:sz w:val="21"/>
                <w:szCs w:val="21"/>
                <w:lang w:val="id-ID"/>
              </w:rPr>
              <w:footnoteReference w:id="158"/>
            </w:r>
            <w:r>
              <w:rPr>
                <w:rFonts w:ascii="Arial" w:hAnsi="Arial" w:cs="Arial"/>
                <w:b w:val="0"/>
                <w:bCs/>
                <w:sz w:val="21"/>
                <w:szCs w:val="21"/>
                <w:lang w:val="id-ID"/>
              </w:rPr>
              <w:t>:</w:t>
            </w:r>
            <w:bookmarkEnd w:id="238"/>
            <w:bookmarkEnd w:id="239"/>
            <w:bookmarkEnd w:id="240"/>
          </w:p>
        </w:tc>
        <w:tc>
          <w:tcPr>
            <w:tcW w:w="5236" w:type="dxa"/>
          </w:tcPr>
          <w:p>
            <w:pPr>
              <w:widowControl w:val="0"/>
              <w:spacing w:after="120"/>
              <w:rPr>
                <w:rFonts w:ascii="Arial" w:hAnsi="Arial" w:cs="Arial"/>
                <w:sz w:val="21"/>
                <w:szCs w:val="21"/>
                <w:lang w:val="id-ID"/>
              </w:rPr>
            </w:pPr>
            <w:r>
              <w:rPr>
                <w:rFonts w:ascii="Arial" w:hAnsi="Arial" w:cs="Arial"/>
                <w:sz w:val="21"/>
                <w:szCs w:val="21"/>
                <w:lang w:val="id-ID"/>
              </w:rPr>
              <w:t xml:space="preserve">Ini akan mencakup hal-hal berikut dalam bentuk dan substansi yang memuaskan Agen </w:t>
            </w:r>
            <w:r>
              <w:rPr>
                <w:rFonts w:ascii="Arial" w:hAnsi="Arial" w:cs="Arial"/>
                <w:sz w:val="21"/>
                <w:szCs w:val="21"/>
                <w:lang w:val="en-US"/>
              </w:rPr>
              <w:t>Antarkreditur</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Otoritas perusahaan</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sz w:val="21"/>
                <w:szCs w:val="21"/>
                <w:lang w:val="id-ID"/>
              </w:rPr>
            </w:pPr>
            <w:bookmarkStart w:id="242" w:name="_Ref36227939"/>
            <w:r>
              <w:rPr>
                <w:rFonts w:ascii="Arial" w:hAnsi="Arial" w:cs="Arial"/>
                <w:sz w:val="21"/>
                <w:szCs w:val="21"/>
                <w:lang w:val="id-ID"/>
              </w:rPr>
              <w:t>salinan resmi dari dokumen</w:t>
            </w:r>
            <w:r>
              <w:rPr>
                <w:rFonts w:ascii="Arial" w:hAnsi="Arial" w:cs="Arial"/>
                <w:sz w:val="21"/>
                <w:szCs w:val="21"/>
                <w:lang w:val="en-US"/>
              </w:rPr>
              <w:t>-dokumen</w:t>
            </w:r>
            <w:r>
              <w:rPr>
                <w:rFonts w:ascii="Arial" w:hAnsi="Arial" w:cs="Arial"/>
                <w:sz w:val="21"/>
                <w:szCs w:val="21"/>
                <w:lang w:val="id-ID"/>
              </w:rPr>
              <w:t xml:space="preserve"> </w:t>
            </w:r>
            <w:r>
              <w:rPr>
                <w:rFonts w:ascii="Arial" w:hAnsi="Arial" w:cs="Arial"/>
                <w:sz w:val="21"/>
                <w:szCs w:val="21"/>
                <w:lang w:val="en-US"/>
              </w:rPr>
              <w:t xml:space="preserve">pendirian </w:t>
            </w:r>
            <w:r>
              <w:rPr>
                <w:rFonts w:ascii="Arial" w:hAnsi="Arial" w:cs="Arial"/>
                <w:sz w:val="21"/>
                <w:szCs w:val="21"/>
                <w:lang w:val="id-ID"/>
              </w:rPr>
              <w:t>[tiap</w:t>
            </w:r>
            <w:r>
              <w:rPr>
                <w:rFonts w:ascii="Arial" w:hAnsi="Arial" w:cs="Arial"/>
                <w:sz w:val="21"/>
                <w:szCs w:val="21"/>
                <w:lang w:val="en-US"/>
              </w:rPr>
              <w:t>-</w:t>
            </w:r>
            <w:r>
              <w:rPr>
                <w:rFonts w:ascii="Arial" w:hAnsi="Arial" w:cs="Arial"/>
                <w:sz w:val="21"/>
                <w:szCs w:val="21"/>
                <w:lang w:val="id-ID"/>
              </w:rPr>
              <w:t>tiap Partisipan Proyek</w:t>
            </w:r>
            <w:r>
              <w:rPr>
                <w:rFonts w:ascii="Arial" w:hAnsi="Arial" w:cs="Arial"/>
                <w:sz w:val="21"/>
                <w:szCs w:val="21"/>
                <w:lang w:val="en-US"/>
              </w:rPr>
              <w:t xml:space="preserve"> Utama</w:t>
            </w:r>
            <w:r>
              <w:rPr>
                <w:rFonts w:ascii="Arial" w:hAnsi="Arial" w:cs="Arial"/>
                <w:sz w:val="21"/>
                <w:szCs w:val="21"/>
                <w:lang w:val="id-ID"/>
              </w:rPr>
              <w:t>]</w:t>
            </w:r>
            <w:r>
              <w:rPr>
                <w:rStyle w:val="25"/>
                <w:rFonts w:ascii="Arial" w:hAnsi="Arial" w:cs="Arial"/>
                <w:sz w:val="21"/>
                <w:szCs w:val="21"/>
                <w:lang w:val="id-ID"/>
              </w:rPr>
              <w:footnoteReference w:id="159"/>
            </w:r>
            <w:r>
              <w:rPr>
                <w:rFonts w:ascii="Arial" w:hAnsi="Arial" w:cs="Arial"/>
                <w:sz w:val="21"/>
                <w:szCs w:val="21"/>
                <w:lang w:val="id-ID"/>
              </w:rPr>
              <w:t>;</w:t>
            </w:r>
            <w:bookmarkEnd w:id="242"/>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bookmarkStart w:id="243" w:name="_Ref36227967"/>
            <w:r>
              <w:rPr>
                <w:rFonts w:ascii="Arial" w:hAnsi="Arial" w:cs="Arial"/>
                <w:sz w:val="21"/>
                <w:szCs w:val="21"/>
                <w:lang w:val="id-ID"/>
              </w:rPr>
              <w:t xml:space="preserve">salinan resmi keputusan dewan [dan </w:t>
            </w:r>
            <w:r>
              <w:rPr>
                <w:rFonts w:ascii="Arial" w:hAnsi="Arial" w:cs="Arial"/>
                <w:sz w:val="21"/>
                <w:szCs w:val="21"/>
                <w:lang w:val="en-US"/>
              </w:rPr>
              <w:t xml:space="preserve">para </w:t>
            </w:r>
            <w:r>
              <w:rPr>
                <w:rFonts w:ascii="Arial" w:hAnsi="Arial" w:cs="Arial"/>
                <w:sz w:val="21"/>
                <w:szCs w:val="21"/>
                <w:lang w:val="id-ID"/>
              </w:rPr>
              <w:t>pemegang saham jika diperlukan]</w:t>
            </w:r>
            <w:r>
              <w:rPr>
                <w:rFonts w:ascii="Arial" w:hAnsi="Arial" w:cs="Arial"/>
                <w:sz w:val="21"/>
                <w:szCs w:val="21"/>
                <w:vertAlign w:val="superscript"/>
                <w:lang w:val="id-ID"/>
              </w:rPr>
              <w:footnoteReference w:id="160"/>
            </w:r>
            <w:r>
              <w:rPr>
                <w:rFonts w:ascii="Arial" w:hAnsi="Arial" w:cs="Arial"/>
                <w:sz w:val="21"/>
                <w:szCs w:val="21"/>
                <w:vertAlign w:val="superscript"/>
                <w:lang w:val="id-ID"/>
              </w:rPr>
              <w:t xml:space="preserve"> </w:t>
            </w:r>
            <w:r>
              <w:rPr>
                <w:rFonts w:ascii="Arial" w:hAnsi="Arial" w:cs="Arial"/>
                <w:sz w:val="21"/>
                <w:szCs w:val="21"/>
                <w:lang w:val="id-ID"/>
              </w:rPr>
              <w:t>dari [tiap</w:t>
            </w:r>
            <w:r>
              <w:rPr>
                <w:rFonts w:ascii="Arial" w:hAnsi="Arial" w:cs="Arial"/>
                <w:sz w:val="21"/>
                <w:szCs w:val="21"/>
                <w:lang w:val="en-US"/>
              </w:rPr>
              <w:t>-</w:t>
            </w:r>
            <w:r>
              <w:rPr>
                <w:rFonts w:ascii="Arial" w:hAnsi="Arial" w:cs="Arial"/>
                <w:sz w:val="21"/>
                <w:szCs w:val="21"/>
                <w:lang w:val="id-ID"/>
              </w:rPr>
              <w:t>tiap</w:t>
            </w:r>
            <w:r>
              <w:rPr>
                <w:rFonts w:ascii="Arial" w:hAnsi="Arial" w:cs="Arial"/>
                <w:sz w:val="21"/>
                <w:szCs w:val="21"/>
                <w:lang w:val="en-US"/>
              </w:rPr>
              <w:t xml:space="preserve"> </w:t>
            </w:r>
            <w:r>
              <w:rPr>
                <w:rFonts w:ascii="Arial" w:hAnsi="Arial" w:cs="Arial"/>
                <w:sz w:val="21"/>
                <w:szCs w:val="21"/>
                <w:lang w:val="id-ID"/>
              </w:rPr>
              <w:t>Partisipan Proyek</w:t>
            </w:r>
            <w:r>
              <w:rPr>
                <w:rFonts w:ascii="Arial" w:hAnsi="Arial" w:cs="Arial"/>
                <w:sz w:val="21"/>
                <w:szCs w:val="21"/>
                <w:lang w:val="en-US"/>
              </w:rPr>
              <w:t xml:space="preserve"> Utama</w:t>
            </w:r>
            <w:r>
              <w:rPr>
                <w:rFonts w:ascii="Arial" w:hAnsi="Arial" w:cs="Arial"/>
                <w:sz w:val="21"/>
                <w:szCs w:val="21"/>
                <w:lang w:val="id-ID"/>
              </w:rPr>
              <w:t>]</w:t>
            </w:r>
            <w:r>
              <w:rPr>
                <w:rFonts w:ascii="Arial" w:hAnsi="Arial" w:cs="Arial"/>
                <w:sz w:val="21"/>
                <w:szCs w:val="21"/>
                <w:vertAlign w:val="superscript"/>
                <w:lang w:val="id-ID"/>
              </w:rPr>
              <w:footnoteReference w:id="161"/>
            </w:r>
            <w:r>
              <w:rPr>
                <w:rFonts w:ascii="Arial" w:hAnsi="Arial" w:cs="Arial"/>
                <w:sz w:val="21"/>
                <w:szCs w:val="21"/>
                <w:lang w:val="id-ID"/>
              </w:rPr>
              <w:t>;</w:t>
            </w:r>
            <w:bookmarkEnd w:id="243"/>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contoh tanda tangan untuk [tiap</w:t>
            </w:r>
            <w:r>
              <w:rPr>
                <w:rFonts w:ascii="Arial" w:hAnsi="Arial" w:cs="Arial"/>
                <w:sz w:val="21"/>
                <w:szCs w:val="21"/>
                <w:lang w:val="en-US"/>
              </w:rPr>
              <w:t>-</w:t>
            </w:r>
            <w:r>
              <w:rPr>
                <w:rFonts w:ascii="Arial" w:hAnsi="Arial" w:cs="Arial"/>
                <w:sz w:val="21"/>
                <w:szCs w:val="21"/>
                <w:lang w:val="id-ID"/>
              </w:rPr>
              <w:t>tiap</w:t>
            </w:r>
            <w:r>
              <w:rPr>
                <w:rFonts w:ascii="Arial" w:hAnsi="Arial" w:cs="Arial"/>
                <w:sz w:val="21"/>
                <w:szCs w:val="21"/>
                <w:lang w:val="en-US"/>
              </w:rPr>
              <w:t xml:space="preserve"> </w:t>
            </w:r>
            <w:r>
              <w:rPr>
                <w:rFonts w:ascii="Arial" w:hAnsi="Arial" w:cs="Arial"/>
                <w:sz w:val="21"/>
                <w:szCs w:val="21"/>
                <w:lang w:val="id-ID"/>
              </w:rPr>
              <w:t>Partisipan Proyek</w:t>
            </w:r>
            <w:r>
              <w:rPr>
                <w:rFonts w:ascii="Arial" w:hAnsi="Arial" w:cs="Arial"/>
                <w:sz w:val="21"/>
                <w:szCs w:val="21"/>
                <w:lang w:val="en-US"/>
              </w:rPr>
              <w:t xml:space="preserve"> Utama</w:t>
            </w:r>
            <w:r>
              <w:rPr>
                <w:rFonts w:ascii="Arial" w:hAnsi="Arial" w:cs="Arial"/>
                <w:sz w:val="21"/>
                <w:szCs w:val="21"/>
                <w:lang w:val="id-ID"/>
              </w:rPr>
              <w:t>]</w:t>
            </w:r>
            <w:r>
              <w:rPr>
                <w:rFonts w:ascii="Arial" w:hAnsi="Arial" w:cs="Arial"/>
                <w:sz w:val="21"/>
                <w:szCs w:val="21"/>
                <w:vertAlign w:val="superscript"/>
                <w:lang w:val="id-ID"/>
              </w:rPr>
              <w:footnoteReference w:id="162"/>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sertifikat peminjaman/pen</w:t>
            </w:r>
            <w:r>
              <w:rPr>
                <w:rFonts w:ascii="Arial" w:hAnsi="Arial" w:cs="Arial"/>
                <w:sz w:val="21"/>
                <w:szCs w:val="21"/>
                <w:lang w:val="en-US"/>
              </w:rPr>
              <w:t>anggungan</w:t>
            </w:r>
            <w:r>
              <w:rPr>
                <w:rFonts w:ascii="Arial" w:hAnsi="Arial" w:cs="Arial"/>
                <w:sz w:val="21"/>
                <w:szCs w:val="21"/>
                <w:lang w:val="id-ID"/>
              </w:rPr>
              <w:t xml:space="preserve"> dari Perusahaan Proyek [dan tiap</w:t>
            </w:r>
            <w:r>
              <w:rPr>
                <w:rFonts w:ascii="Arial" w:hAnsi="Arial" w:cs="Arial"/>
                <w:sz w:val="21"/>
                <w:szCs w:val="21"/>
                <w:lang w:val="en-US"/>
              </w:rPr>
              <w:t>-</w:t>
            </w:r>
            <w:r>
              <w:rPr>
                <w:rFonts w:ascii="Arial" w:hAnsi="Arial" w:cs="Arial"/>
                <w:sz w:val="21"/>
                <w:szCs w:val="21"/>
                <w:lang w:val="id-ID"/>
              </w:rPr>
              <w:t>tiap</w:t>
            </w:r>
            <w:r>
              <w:rPr>
                <w:rFonts w:ascii="Arial" w:hAnsi="Arial" w:cs="Arial"/>
                <w:sz w:val="21"/>
                <w:szCs w:val="21"/>
                <w:lang w:val="en-US"/>
              </w:rPr>
              <w:t xml:space="preserve"> </w:t>
            </w:r>
            <w:r>
              <w:rPr>
                <w:rFonts w:ascii="Arial" w:hAnsi="Arial" w:cs="Arial"/>
                <w:sz w:val="21"/>
                <w:szCs w:val="21"/>
                <w:lang w:val="id-ID"/>
              </w:rPr>
              <w:t>Pemegang Saham/Sponsor];</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Dokumen-dokumen Transaksi</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salinan resmi dari semua Dokumen</w:t>
            </w:r>
            <w:r>
              <w:rPr>
                <w:rFonts w:ascii="Arial" w:hAnsi="Arial" w:cs="Arial"/>
                <w:sz w:val="21"/>
                <w:szCs w:val="21"/>
                <w:lang w:val="en-US"/>
              </w:rPr>
              <w:t>-</w:t>
            </w:r>
            <w:r>
              <w:rPr>
                <w:rFonts w:ascii="Arial" w:hAnsi="Arial" w:cs="Arial"/>
                <w:sz w:val="21"/>
                <w:szCs w:val="21"/>
                <w:lang w:val="id-ID"/>
              </w:rPr>
              <w:t xml:space="preserve">Dokumen Proyek (ditandatangan sebagaimana mestinya dan dengan kekuatan dan </w:t>
            </w:r>
            <w:r>
              <w:rPr>
                <w:rFonts w:ascii="Arial" w:hAnsi="Arial" w:cs="Arial"/>
                <w:sz w:val="21"/>
                <w:szCs w:val="21"/>
                <w:lang w:val="en-US"/>
              </w:rPr>
              <w:t>keberlakuan penuh</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 xml:space="preserve">dokumen asli dari semua </w:t>
            </w:r>
            <w:r>
              <w:rPr>
                <w:rFonts w:ascii="Arial" w:hAnsi="Arial" w:cs="Arial"/>
                <w:sz w:val="21"/>
                <w:szCs w:val="21"/>
                <w:lang w:val="en-US"/>
              </w:rPr>
              <w:t>Dokumen-dokumen Pembiayaan</w:t>
            </w:r>
            <w:r>
              <w:rPr>
                <w:rFonts w:ascii="Arial" w:hAnsi="Arial" w:cs="Arial"/>
                <w:sz w:val="21"/>
                <w:szCs w:val="21"/>
                <w:vertAlign w:val="superscript"/>
                <w:lang w:val="id-ID"/>
              </w:rPr>
              <w:footnoteReference w:id="163"/>
            </w:r>
            <w:r>
              <w:rPr>
                <w:rFonts w:ascii="Arial" w:hAnsi="Arial" w:cs="Arial"/>
                <w:sz w:val="21"/>
                <w:szCs w:val="21"/>
                <w:vertAlign w:val="superscript"/>
                <w:lang w:val="id-ID"/>
              </w:rPr>
              <w:t xml:space="preserve"> </w:t>
            </w:r>
            <w:r>
              <w:rPr>
                <w:rFonts w:ascii="Arial" w:hAnsi="Arial" w:cs="Arial"/>
                <w:sz w:val="21"/>
                <w:szCs w:val="21"/>
                <w:lang w:val="id-ID"/>
              </w:rPr>
              <w:t>(ditandatangan</w:t>
            </w:r>
            <w:r>
              <w:rPr>
                <w:rFonts w:ascii="Arial" w:hAnsi="Arial" w:cs="Arial"/>
                <w:sz w:val="21"/>
                <w:szCs w:val="21"/>
                <w:lang w:val="en-US"/>
              </w:rPr>
              <w:t>i</w:t>
            </w:r>
            <w:r>
              <w:rPr>
                <w:rFonts w:ascii="Arial" w:hAnsi="Arial" w:cs="Arial"/>
                <w:sz w:val="21"/>
                <w:szCs w:val="21"/>
                <w:lang w:val="id-ID"/>
              </w:rPr>
              <w:t xml:space="preserve"> sebagaimana mestinya dan dengan kekuatan dan </w:t>
            </w:r>
            <w:r>
              <w:rPr>
                <w:rFonts w:ascii="Arial" w:hAnsi="Arial" w:cs="Arial"/>
                <w:sz w:val="21"/>
                <w:szCs w:val="21"/>
                <w:lang w:val="en-US"/>
              </w:rPr>
              <w:t>keberlakuan penuh</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en-US"/>
              </w:rPr>
              <w:t>b</w:t>
            </w:r>
            <w:r>
              <w:rPr>
                <w:rFonts w:ascii="Arial" w:hAnsi="Arial" w:cs="Arial"/>
                <w:sz w:val="21"/>
                <w:szCs w:val="21"/>
                <w:lang w:val="id-ID"/>
              </w:rPr>
              <w:t xml:space="preserve">ukti bahwa semua formalitas untuk memberlakukan Dokumen-dokumen Jaminan telah dilakukan (termasuk pendaftaran dan pengajuan, pembayaran </w:t>
            </w:r>
            <w:r>
              <w:rPr>
                <w:rFonts w:ascii="Arial" w:hAnsi="Arial" w:cs="Arial"/>
                <w:sz w:val="21"/>
                <w:szCs w:val="21"/>
                <w:lang w:val="en-US"/>
              </w:rPr>
              <w:t>meterai</w:t>
            </w:r>
            <w:r>
              <w:rPr>
                <w:rFonts w:ascii="Arial" w:hAnsi="Arial" w:cs="Arial"/>
                <w:sz w:val="21"/>
                <w:szCs w:val="21"/>
                <w:lang w:val="id-ID"/>
              </w:rPr>
              <w:t>, pendaftaran atau pajak serupa, penyerahan surat saham, pemberitahuan dan pengakuan pengalihan);</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semua otorisasi</w:t>
            </w:r>
            <w:r>
              <w:rPr>
                <w:rStyle w:val="25"/>
                <w:rFonts w:ascii="Arial" w:hAnsi="Arial" w:cs="Arial"/>
                <w:sz w:val="21"/>
                <w:szCs w:val="21"/>
                <w:lang w:val="id-ID"/>
              </w:rPr>
              <w:t xml:space="preserve"> </w:t>
            </w:r>
            <w:r>
              <w:rPr>
                <w:rStyle w:val="25"/>
                <w:rFonts w:ascii="Arial" w:hAnsi="Arial" w:cs="Arial"/>
                <w:sz w:val="21"/>
                <w:szCs w:val="21"/>
                <w:lang w:val="id-ID"/>
              </w:rPr>
              <w:footnoteReference w:id="164"/>
            </w:r>
            <w:r>
              <w:rPr>
                <w:rFonts w:ascii="Arial" w:hAnsi="Arial" w:cs="Arial"/>
                <w:sz w:val="21"/>
                <w:szCs w:val="21"/>
                <w:lang w:val="id-ID"/>
              </w:rPr>
              <w:t xml:space="preserve"> untuk Proyek telah diperoleh dan tidak bersyarat (atau jika bersyarat, persyaratan telah dipenuhi atau di</w:t>
            </w:r>
            <w:r>
              <w:rPr>
                <w:rFonts w:ascii="Arial" w:hAnsi="Arial" w:cs="Arial"/>
                <w:sz w:val="21"/>
                <w:szCs w:val="21"/>
                <w:lang w:val="en-US"/>
              </w:rPr>
              <w:t>ke</w:t>
            </w:r>
            <w:r>
              <w:rPr>
                <w:rFonts w:ascii="Arial" w:hAnsi="Arial" w:cs="Arial"/>
                <w:sz w:val="21"/>
                <w:szCs w:val="21"/>
                <w:lang w:val="id-ID"/>
              </w:rPr>
              <w:t xml:space="preserve">sampingkan) dan dengan kekuatan dan </w:t>
            </w:r>
            <w:r>
              <w:rPr>
                <w:rFonts w:ascii="Arial" w:hAnsi="Arial" w:cs="Arial"/>
                <w:sz w:val="21"/>
                <w:szCs w:val="21"/>
                <w:lang w:val="en-US"/>
              </w:rPr>
              <w:t>keberlakuan penuh</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Asuransi</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bukti bahwa semua asuransi periode konstruksi [dan reasuransi]</w:t>
            </w:r>
            <w:r>
              <w:rPr>
                <w:rStyle w:val="25"/>
                <w:rFonts w:ascii="Arial" w:hAnsi="Arial" w:cs="Arial"/>
                <w:sz w:val="21"/>
                <w:szCs w:val="21"/>
                <w:lang w:val="id-ID"/>
              </w:rPr>
              <w:footnoteReference w:id="165"/>
            </w:r>
            <w:r>
              <w:rPr>
                <w:rFonts w:ascii="Arial" w:hAnsi="Arial" w:cs="Arial"/>
                <w:sz w:val="21"/>
                <w:szCs w:val="21"/>
                <w:lang w:val="id-ID"/>
              </w:rPr>
              <w:t xml:space="preserve"> berlaku penuh;</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 xml:space="preserve">salinan </w:t>
            </w:r>
            <w:r>
              <w:rPr>
                <w:rFonts w:ascii="Arial" w:hAnsi="Arial" w:cs="Arial"/>
                <w:sz w:val="21"/>
                <w:szCs w:val="21"/>
                <w:lang w:val="en-US"/>
              </w:rPr>
              <w:t>janji</w:t>
            </w:r>
            <w:r>
              <w:rPr>
                <w:rFonts w:ascii="Arial" w:hAnsi="Arial" w:cs="Arial"/>
                <w:sz w:val="21"/>
                <w:szCs w:val="21"/>
                <w:lang w:val="id-ID"/>
              </w:rPr>
              <w:t xml:space="preserve"> pialang asuransi yang ditandatangani dalam </w:t>
            </w:r>
            <w:r>
              <w:rPr>
                <w:rFonts w:ascii="Arial" w:hAnsi="Arial" w:cs="Arial"/>
                <w:sz w:val="21"/>
                <w:szCs w:val="21"/>
                <w:lang w:val="en-US"/>
              </w:rPr>
              <w:t xml:space="preserve">format </w:t>
            </w:r>
            <w:r>
              <w:rPr>
                <w:rFonts w:ascii="Arial" w:hAnsi="Arial" w:cs="Arial"/>
                <w:sz w:val="21"/>
                <w:szCs w:val="21"/>
                <w:lang w:val="id-ID"/>
              </w:rPr>
              <w:t>yang disepakati;</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Laporan</w:t>
            </w:r>
            <w:r>
              <w:rPr>
                <w:rFonts w:ascii="Arial" w:hAnsi="Arial" w:cs="Arial"/>
                <w:b/>
                <w:bCs/>
                <w:i/>
                <w:iCs/>
                <w:sz w:val="21"/>
                <w:szCs w:val="21"/>
                <w:lang w:val="en-US"/>
              </w:rPr>
              <w:t>-laporan</w:t>
            </w:r>
            <w:r>
              <w:rPr>
                <w:rFonts w:ascii="Arial" w:hAnsi="Arial" w:cs="Arial"/>
                <w:b/>
                <w:bCs/>
                <w:i/>
                <w:iCs/>
                <w:sz w:val="21"/>
                <w:szCs w:val="21"/>
                <w:lang w:val="id-ID"/>
              </w:rPr>
              <w:t xml:space="preserve"> penasihat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salinan [</w:t>
            </w:r>
            <w:r>
              <w:rPr>
                <w:rFonts w:ascii="Arial" w:hAnsi="Arial" w:cs="Arial"/>
                <w:i/>
                <w:iCs/>
                <w:sz w:val="21"/>
                <w:szCs w:val="21"/>
                <w:lang w:val="id-ID"/>
              </w:rPr>
              <w:t>masing-masing laporan Penasihat untuk dicantumkan</w:t>
            </w:r>
            <w:r>
              <w:rPr>
                <w:rFonts w:ascii="Arial" w:hAnsi="Arial" w:cs="Arial"/>
                <w:sz w:val="21"/>
                <w:szCs w:val="21"/>
                <w:lang w:val="id-ID"/>
              </w:rPr>
              <w:t>]</w:t>
            </w:r>
            <w:r>
              <w:rPr>
                <w:rStyle w:val="25"/>
                <w:rFonts w:ascii="Arial" w:hAnsi="Arial" w:cs="Arial"/>
                <w:sz w:val="21"/>
                <w:szCs w:val="21"/>
                <w:lang w:val="id-ID"/>
              </w:rPr>
              <w:footnoteReference w:id="166"/>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[salinan surat penunjukan masing-masing Penasihat];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Pendapat hukum</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Pendapat[-pendapat] hukum dari [                  ]</w:t>
            </w:r>
            <w:r>
              <w:rPr>
                <w:rStyle w:val="25"/>
                <w:rFonts w:ascii="Arial" w:hAnsi="Arial" w:cs="Arial"/>
                <w:sz w:val="21"/>
                <w:szCs w:val="21"/>
                <w:lang w:val="id-ID"/>
              </w:rPr>
              <w:footnoteReference w:id="167"/>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Lingkungan dan sosial</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sz w:val="21"/>
                <w:szCs w:val="21"/>
                <w:lang w:val="id-ID"/>
              </w:rPr>
            </w:pPr>
            <w:r>
              <w:rPr>
                <w:rFonts w:ascii="Arial" w:hAnsi="Arial" w:cs="Arial"/>
                <w:sz w:val="21"/>
                <w:szCs w:val="21"/>
                <w:lang w:val="id-ID"/>
              </w:rPr>
              <w:t>salinan semua dokumen lingkungan dan sosial (misalnya penilaian dampak, rencana pengelolaan, laporan pemantauan tahunan), semuanya dalam bentuk yang disetujui oleh Penasihat Lingkungan dan Sosial</w:t>
            </w:r>
            <w:bookmarkStart w:id="244" w:name="_Ref330978125"/>
            <w:r>
              <w:rPr>
                <w:rStyle w:val="25"/>
                <w:rFonts w:ascii="Arial" w:hAnsi="Arial" w:cs="Arial"/>
                <w:sz w:val="21"/>
                <w:szCs w:val="21"/>
                <w:lang w:val="id-ID"/>
              </w:rPr>
              <w:footnoteReference w:id="168"/>
            </w:r>
            <w:bookmarkEnd w:id="244"/>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en-US"/>
              </w:rPr>
              <w:t>Financial Model</w:t>
            </w:r>
            <w:r>
              <w:rPr>
                <w:rFonts w:ascii="Arial" w:hAnsi="Arial" w:cs="Arial"/>
                <w:b/>
                <w:bCs/>
                <w:i/>
                <w:iCs/>
                <w:sz w:val="21"/>
                <w:szCs w:val="21"/>
                <w:lang w:val="id-ID"/>
              </w:rPr>
              <w:t xml:space="preserve"> dan anggaran</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sz w:val="21"/>
                <w:szCs w:val="21"/>
                <w:lang w:val="id-ID"/>
              </w:rPr>
            </w:pPr>
            <w:r>
              <w:rPr>
                <w:rFonts w:ascii="Arial" w:hAnsi="Arial" w:cs="Arial"/>
                <w:sz w:val="21"/>
                <w:szCs w:val="21"/>
                <w:lang w:val="id-ID"/>
              </w:rPr>
              <w:t xml:space="preserve">salinan </w:t>
            </w:r>
            <w:r>
              <w:rPr>
                <w:rFonts w:ascii="Arial" w:hAnsi="Arial" w:cs="Arial"/>
                <w:i/>
                <w:iCs/>
                <w:sz w:val="21"/>
                <w:szCs w:val="21"/>
                <w:lang w:val="en-US"/>
              </w:rPr>
              <w:t>Financial Model</w:t>
            </w:r>
            <w:r>
              <w:rPr>
                <w:rFonts w:ascii="Arial" w:hAnsi="Arial" w:cs="Arial"/>
                <w:sz w:val="21"/>
                <w:szCs w:val="21"/>
                <w:lang w:val="id-ID"/>
              </w:rPr>
              <w:t xml:space="preserve"> dan Kasus Dasar</w:t>
            </w:r>
            <w:r>
              <w:rPr>
                <w:rStyle w:val="25"/>
                <w:rFonts w:ascii="Arial" w:hAnsi="Arial" w:cs="Arial"/>
                <w:sz w:val="21"/>
                <w:szCs w:val="21"/>
                <w:lang w:val="id-ID"/>
              </w:rPr>
              <w:footnoteReference w:id="169"/>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i/>
                <w:iCs/>
                <w:sz w:val="21"/>
                <w:szCs w:val="21"/>
                <w:lang w:val="id-ID"/>
              </w:rPr>
            </w:pPr>
            <w:r>
              <w:rPr>
                <w:rFonts w:ascii="Arial" w:hAnsi="Arial" w:cs="Arial"/>
                <w:sz w:val="21"/>
                <w:szCs w:val="21"/>
                <w:lang w:val="id-ID"/>
              </w:rPr>
              <w:t>Laporan Keuangan yang menunjukkan kepatuhan terhadap [</w:t>
            </w:r>
            <w:r>
              <w:rPr>
                <w:rFonts w:ascii="Arial" w:hAnsi="Arial" w:cs="Arial"/>
                <w:i/>
                <w:iCs/>
                <w:sz w:val="21"/>
                <w:szCs w:val="21"/>
                <w:lang w:val="id-ID"/>
              </w:rPr>
              <w:t>masukkan rasio keuangan yang relevan: LLCR; proyeksi DSCR untuk setiap periode [       ] bulan</w:t>
            </w:r>
            <w:r>
              <w:rPr>
                <w:rFonts w:ascii="Arial" w:hAnsi="Arial" w:cs="Arial"/>
                <w:sz w:val="21"/>
                <w:szCs w:val="21"/>
                <w:lang w:val="id-ID"/>
              </w:rPr>
              <w:t>]</w:t>
            </w:r>
            <w:r>
              <w:rPr>
                <w:rFonts w:ascii="Arial" w:hAnsi="Arial" w:cs="Arial"/>
                <w:i/>
                <w:iCs/>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tabs>
                <w:tab w:val="clear" w:pos="720"/>
              </w:tabs>
              <w:spacing w:after="120"/>
              <w:rPr>
                <w:rFonts w:ascii="Arial" w:hAnsi="Arial" w:cs="Arial"/>
                <w:sz w:val="21"/>
                <w:szCs w:val="21"/>
                <w:lang w:val="id-ID"/>
              </w:rPr>
            </w:pPr>
            <w:r>
              <w:rPr>
                <w:rFonts w:ascii="Arial" w:hAnsi="Arial" w:cs="Arial"/>
                <w:sz w:val="21"/>
                <w:szCs w:val="21"/>
                <w:lang w:val="id-ID"/>
              </w:rPr>
              <w:t>salinan anggaran konstruksi awal dan [(bentuk)] anggaran operasional awal;</w:t>
            </w:r>
            <w:bookmarkStart w:id="245" w:name="_9kP4WSt67349ECEL"/>
            <w:bookmarkStart w:id="246" w:name="_9kR3WTr6734DLFEL"/>
            <w:r>
              <w:rPr>
                <w:rStyle w:val="25"/>
                <w:rFonts w:ascii="Arial" w:hAnsi="Arial" w:cs="Arial"/>
                <w:sz w:val="21"/>
                <w:szCs w:val="21"/>
                <w:lang w:val="id-ID"/>
              </w:rPr>
              <w:footnoteReference w:id="170"/>
            </w:r>
            <w:bookmarkEnd w:id="245"/>
            <w:bookmarkEnd w:id="246"/>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Laporan</w:t>
            </w:r>
            <w:r>
              <w:rPr>
                <w:rFonts w:ascii="Arial" w:hAnsi="Arial" w:cs="Arial"/>
                <w:b/>
                <w:bCs/>
                <w:i/>
                <w:iCs/>
                <w:sz w:val="21"/>
                <w:szCs w:val="21"/>
                <w:lang w:val="en-US"/>
              </w:rPr>
              <w:t xml:space="preserve"> </w:t>
            </w:r>
            <w:r>
              <w:rPr>
                <w:rFonts w:ascii="Arial" w:hAnsi="Arial" w:cs="Arial"/>
                <w:b/>
                <w:bCs/>
                <w:i/>
                <w:iCs/>
                <w:sz w:val="21"/>
                <w:szCs w:val="21"/>
                <w:lang w:val="id-ID"/>
              </w:rPr>
              <w:t>keuangan</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sz w:val="21"/>
                <w:szCs w:val="21"/>
                <w:lang w:val="id-ID"/>
              </w:rPr>
            </w:pPr>
            <w:r>
              <w:rPr>
                <w:rFonts w:ascii="Arial" w:hAnsi="Arial" w:cs="Arial"/>
                <w:sz w:val="21"/>
                <w:szCs w:val="21"/>
                <w:lang w:val="id-ID"/>
              </w:rPr>
              <w:t>laporan keuangan yang berkaitan dengan Perusahaan Proyek</w:t>
            </w:r>
            <w:r>
              <w:rPr>
                <w:rStyle w:val="25"/>
                <w:rFonts w:ascii="Arial" w:hAnsi="Arial" w:cs="Arial"/>
                <w:sz w:val="21"/>
                <w:szCs w:val="21"/>
                <w:lang w:val="id-ID"/>
              </w:rPr>
              <w:footnoteReference w:id="171"/>
            </w:r>
            <w:r>
              <w:rPr>
                <w:rFonts w:ascii="Arial" w:hAnsi="Arial" w:cs="Arial"/>
                <w:sz w:val="21"/>
                <w:szCs w:val="21"/>
                <w:lang w:val="id-ID"/>
              </w:rPr>
              <w:t xml:space="preserve"> [dan Sponsor</w:t>
            </w:r>
            <w:r>
              <w:rPr>
                <w:rFonts w:ascii="Arial" w:hAnsi="Arial" w:cs="Arial"/>
                <w:sz w:val="21"/>
                <w:szCs w:val="21"/>
                <w:lang w:val="en-US"/>
              </w:rPr>
              <w:t>-sponsor</w:t>
            </w:r>
            <w:r>
              <w:rPr>
                <w:rFonts w:ascii="Arial" w:hAnsi="Arial" w:cs="Arial"/>
                <w:sz w:val="21"/>
                <w:szCs w:val="21"/>
                <w:lang w:val="id-ID"/>
              </w:rPr>
              <w:t>/</w:t>
            </w:r>
            <w:r>
              <w:rPr>
                <w:rFonts w:ascii="Arial" w:hAnsi="Arial" w:cs="Arial"/>
                <w:sz w:val="21"/>
                <w:szCs w:val="21"/>
                <w:lang w:val="en-US"/>
              </w:rPr>
              <w:t xml:space="preserve">Para </w:t>
            </w:r>
            <w:r>
              <w:rPr>
                <w:rFonts w:ascii="Arial" w:hAnsi="Arial" w:cs="Arial"/>
                <w:sz w:val="21"/>
                <w:szCs w:val="21"/>
                <w:lang w:val="id-ID"/>
              </w:rPr>
              <w:t>Pemegang Saham/</w:t>
            </w:r>
            <w:r>
              <w:rPr>
                <w:rFonts w:ascii="Arial" w:hAnsi="Arial" w:cs="Arial"/>
                <w:sz w:val="21"/>
                <w:szCs w:val="21"/>
                <w:lang w:val="en-US"/>
              </w:rPr>
              <w:t>Para Partisipan</w:t>
            </w:r>
            <w:r>
              <w:rPr>
                <w:rFonts w:ascii="Arial" w:hAnsi="Arial" w:cs="Arial"/>
                <w:sz w:val="21"/>
                <w:szCs w:val="21"/>
                <w:lang w:val="id-ID"/>
              </w:rPr>
              <w:t xml:space="preserve"> Utama Proyek</w:t>
            </w:r>
            <w:r>
              <w:rPr>
                <w:rStyle w:val="25"/>
                <w:rFonts w:ascii="Arial" w:hAnsi="Arial" w:cs="Arial"/>
                <w:sz w:val="21"/>
                <w:szCs w:val="21"/>
                <w:lang w:val="id-ID"/>
              </w:rPr>
              <w:footnoteReference w:id="172"/>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Lindung nilai</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sz w:val="21"/>
                <w:szCs w:val="21"/>
                <w:lang w:val="id-ID"/>
              </w:rPr>
            </w:pPr>
            <w:r>
              <w:rPr>
                <w:rFonts w:ascii="Arial" w:hAnsi="Arial" w:cs="Arial"/>
                <w:sz w:val="21"/>
                <w:szCs w:val="21"/>
                <w:lang w:val="id-ID"/>
              </w:rPr>
              <w:t>salinan resmi dari setiap perjanjian lindung nilai yang telah ditandatangani;</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Dokumentasi judul</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sz w:val="21"/>
                <w:szCs w:val="21"/>
                <w:lang w:val="id-ID"/>
              </w:rPr>
            </w:pPr>
            <w:r>
              <w:rPr>
                <w:rFonts w:ascii="Arial" w:hAnsi="Arial" w:cs="Arial"/>
                <w:sz w:val="21"/>
                <w:szCs w:val="21"/>
                <w:lang w:val="id-ID"/>
              </w:rPr>
              <w:t>salinan semua dokumentasi terkait dengan lokasi Proyek (misalnya dokumen kepemilikan, survei lokasi);</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 xml:space="preserve">Agen </w:t>
            </w:r>
            <w:r>
              <w:rPr>
                <w:rFonts w:ascii="Arial" w:hAnsi="Arial"/>
                <w:b/>
                <w:bCs/>
                <w:i/>
                <w:iCs/>
                <w:sz w:val="21"/>
                <w:szCs w:val="21"/>
                <w:lang w:val="id-ID"/>
              </w:rPr>
              <w:t>penyampaian dokumen-dokumen pengadilan</w:t>
            </w:r>
            <w:r>
              <w:rPr>
                <w:rFonts w:ascii="Arial" w:hAnsi="Arial"/>
                <w:b/>
                <w:bCs/>
                <w:i/>
                <w:iCs/>
                <w:sz w:val="21"/>
                <w:szCs w:val="21"/>
                <w:lang w:val="en-US"/>
              </w:rPr>
              <w:t xml:space="preserve"> </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sz w:val="21"/>
                <w:szCs w:val="21"/>
                <w:lang w:val="id-ID"/>
              </w:rPr>
            </w:pPr>
            <w:r>
              <w:rPr>
                <w:rFonts w:ascii="Arial" w:hAnsi="Arial" w:cs="Arial"/>
                <w:sz w:val="21"/>
                <w:szCs w:val="21"/>
                <w:lang w:val="id-ID"/>
              </w:rPr>
              <w:t xml:space="preserve">bukti penunjukan agen </w:t>
            </w:r>
            <w:r>
              <w:rPr>
                <w:rFonts w:ascii="Arial" w:hAnsi="Arial"/>
                <w:sz w:val="21"/>
                <w:szCs w:val="21"/>
                <w:lang w:val="id-ID"/>
              </w:rPr>
              <w:t>penyampaian dokumen-dokumen pengadilan</w:t>
            </w:r>
            <w:r>
              <w:rPr>
                <w:rFonts w:ascii="Arial" w:hAnsi="Arial"/>
                <w:sz w:val="21"/>
                <w:szCs w:val="21"/>
                <w:lang w:val="en-US"/>
              </w:rPr>
              <w:t xml:space="preserve"> </w:t>
            </w:r>
            <w:r>
              <w:rPr>
                <w:rStyle w:val="25"/>
                <w:rFonts w:ascii="Arial" w:hAnsi="Arial" w:cs="Arial"/>
                <w:sz w:val="21"/>
                <w:szCs w:val="21"/>
                <w:lang w:val="id-ID"/>
              </w:rPr>
              <w:footnoteReference w:id="173"/>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Rekening-rekening Proyek</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sz w:val="21"/>
                <w:szCs w:val="21"/>
                <w:lang w:val="id-ID"/>
              </w:rPr>
            </w:pPr>
            <w:r>
              <w:rPr>
                <w:rFonts w:ascii="Arial" w:hAnsi="Arial" w:cs="Arial"/>
                <w:sz w:val="21"/>
                <w:szCs w:val="21"/>
                <w:lang w:val="id-ID"/>
              </w:rPr>
              <w:t>bukti bahwa Rekening Proyek telah dibuka dan terus disimpan pada Bank(-Bank) Rekening;</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Kontribusi ekuitas</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sz w:val="21"/>
                <w:szCs w:val="21"/>
                <w:lang w:val="id-ID"/>
              </w:rPr>
            </w:pPr>
            <w:r>
              <w:rPr>
                <w:rFonts w:ascii="Arial" w:hAnsi="Arial" w:cs="Arial"/>
                <w:sz w:val="21"/>
                <w:szCs w:val="21"/>
                <w:lang w:val="id-ID"/>
              </w:rPr>
              <w:t xml:space="preserve">bukti bahwa [Ekuitas </w:t>
            </w:r>
            <w:r>
              <w:rPr>
                <w:rFonts w:ascii="Arial" w:hAnsi="Arial" w:cs="Arial"/>
                <w:sz w:val="21"/>
                <w:szCs w:val="21"/>
                <w:lang w:val="en-US"/>
              </w:rPr>
              <w:t>Dim</w:t>
            </w:r>
            <w:r>
              <w:rPr>
                <w:rFonts w:ascii="Arial" w:hAnsi="Arial" w:cs="Arial"/>
                <w:sz w:val="21"/>
                <w:szCs w:val="21"/>
                <w:lang w:val="id-ID"/>
              </w:rPr>
              <w:t>uka telah dikontribusikan secara penuh]; [dan]</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0"/>
                <w:numId w:val="0"/>
              </w:numPr>
              <w:tabs>
                <w:tab w:val="clear" w:pos="720"/>
              </w:tabs>
              <w:spacing w:after="120"/>
              <w:ind w:left="720" w:hanging="720"/>
              <w:rPr>
                <w:rFonts w:ascii="Arial" w:hAnsi="Arial" w:cs="Arial"/>
                <w:b/>
                <w:bCs/>
                <w:i/>
                <w:iCs/>
                <w:sz w:val="21"/>
                <w:szCs w:val="21"/>
                <w:lang w:val="id-ID"/>
              </w:rPr>
            </w:pPr>
            <w:r>
              <w:rPr>
                <w:rFonts w:ascii="Arial" w:hAnsi="Arial" w:cs="Arial"/>
                <w:b/>
                <w:bCs/>
                <w:i/>
                <w:iCs/>
                <w:sz w:val="21"/>
                <w:szCs w:val="21"/>
                <w:lang w:val="id-ID"/>
              </w:rPr>
              <w:t>Lainnya</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pStyle w:val="57"/>
              <w:widowControl w:val="0"/>
              <w:numPr>
                <w:ilvl w:val="1"/>
                <w:numId w:val="46"/>
              </w:numPr>
              <w:tabs>
                <w:tab w:val="clear" w:pos="720"/>
              </w:tabs>
              <w:spacing w:after="120"/>
              <w:rPr>
                <w:rFonts w:ascii="Arial" w:hAnsi="Arial" w:cs="Arial"/>
                <w:sz w:val="21"/>
                <w:szCs w:val="21"/>
                <w:lang w:val="id-ID"/>
              </w:rPr>
            </w:pPr>
            <w:r>
              <w:rPr>
                <w:rFonts w:ascii="Arial" w:hAnsi="Arial" w:cs="Arial"/>
                <w:sz w:val="21"/>
                <w:szCs w:val="21"/>
                <w:lang w:val="id-ID"/>
              </w:rPr>
              <w:t>bukti pembayaran semua biaya, harga dan pengeluaran yang kemudian jatuh tempo dari Perusahaan Proyek berdasarkan [Dokumen-dokumen Pembiayaan], atau bahwa biaya, harga dan pengeluaran tersebut akan dibayarkan dari hasil penarikan pertama [dari Fasilitas Pinjaman Berjangka A]</w:t>
            </w:r>
            <w:r>
              <w:rPr>
                <w:rStyle w:val="25"/>
                <w:rFonts w:ascii="Arial" w:hAnsi="Arial" w:cs="Arial"/>
                <w:sz w:val="21"/>
                <w:szCs w:val="21"/>
                <w:lang w:val="id-ID"/>
              </w:rPr>
              <w:footnoteReference w:id="174"/>
            </w:r>
            <w:r>
              <w:rPr>
                <w:rFonts w:ascii="Arial" w:hAnsi="Arial" w:cs="Arial"/>
                <w:sz w:val="21"/>
                <w:szCs w:val="21"/>
                <w:lang w:val="id-ID"/>
              </w:rPr>
              <w:t>; [dan]</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en-US"/>
              </w:rPr>
            </w:pPr>
          </w:p>
        </w:tc>
        <w:tc>
          <w:tcPr>
            <w:tcW w:w="5236" w:type="dxa"/>
          </w:tcPr>
          <w:p>
            <w:pPr>
              <w:widowControl w:val="0"/>
              <w:spacing w:after="120"/>
              <w:rPr>
                <w:rFonts w:ascii="Arial" w:hAnsi="Arial" w:cs="Arial"/>
                <w:sz w:val="21"/>
                <w:szCs w:val="21"/>
                <w:lang w:val="id-ID"/>
              </w:rPr>
            </w:pPr>
            <w:r>
              <w:rPr>
                <w:rFonts w:ascii="Arial" w:hAnsi="Arial" w:cs="Arial"/>
                <w:sz w:val="21"/>
                <w:szCs w:val="21"/>
                <w:lang w:val="id-ID"/>
              </w:rPr>
              <w:t xml:space="preserve">[salinan dokumen, otorisasi, pendapat, atau jaminan lainnya yang ditentukan oleh Agen </w:t>
            </w:r>
            <w:r>
              <w:rPr>
                <w:rFonts w:ascii="Arial" w:hAnsi="Arial" w:cs="Arial"/>
                <w:sz w:val="21"/>
                <w:szCs w:val="21"/>
                <w:lang w:val="en-US"/>
              </w:rPr>
              <w:t>Antarkreditur</w:t>
            </w:r>
            <w:r>
              <w:rPr>
                <w:rFonts w:ascii="Arial" w:hAnsi="Arial" w:cs="Arial"/>
                <w:sz w:val="21"/>
                <w:szCs w:val="21"/>
                <w:lang w:val="id-ID"/>
              </w:rPr>
              <w:t>]</w:t>
            </w:r>
            <w:r>
              <w:rPr>
                <w:rStyle w:val="25"/>
                <w:rFonts w:ascii="Arial" w:hAnsi="Arial" w:cs="Arial"/>
                <w:sz w:val="21"/>
                <w:szCs w:val="21"/>
                <w:lang w:val="id-ID"/>
              </w:rPr>
              <w:footnoteReference w:id="175"/>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pStyle w:val="105"/>
              <w:keepNext w:val="0"/>
              <w:tabs>
                <w:tab w:val="clear" w:pos="720"/>
              </w:tabs>
              <w:spacing w:after="120"/>
              <w:rPr>
                <w:rFonts w:ascii="Arial" w:hAnsi="Arial" w:cs="Arial"/>
                <w:b w:val="0"/>
                <w:sz w:val="21"/>
                <w:szCs w:val="21"/>
                <w:lang w:val="id-ID"/>
              </w:rPr>
            </w:pPr>
            <w:bookmarkStart w:id="247" w:name="_Toc74557572"/>
            <w:bookmarkStart w:id="248" w:name="_Toc74860718"/>
            <w:r>
              <w:rPr>
                <w:rFonts w:ascii="Arial" w:hAnsi="Arial" w:cs="Arial"/>
                <w:sz w:val="21"/>
                <w:szCs w:val="21"/>
                <w:lang w:val="en-US"/>
              </w:rPr>
              <w:t>Prasyarat Pendahuluan</w:t>
            </w:r>
            <w:r>
              <w:rPr>
                <w:rFonts w:ascii="Arial" w:hAnsi="Arial" w:cs="Arial"/>
                <w:sz w:val="21"/>
                <w:szCs w:val="21"/>
                <w:lang w:val="id-ID"/>
              </w:rPr>
              <w:t xml:space="preserve"> untuk setiap penarikan:</w:t>
            </w:r>
            <w:bookmarkEnd w:id="247"/>
            <w:bookmarkEnd w:id="248"/>
          </w:p>
        </w:tc>
        <w:tc>
          <w:tcPr>
            <w:tcW w:w="5236" w:type="dxa"/>
          </w:tcPr>
          <w:p>
            <w:pPr>
              <w:widowControl w:val="0"/>
              <w:spacing w:after="120"/>
              <w:rPr>
                <w:rFonts w:ascii="Arial" w:hAnsi="Arial" w:cs="Arial"/>
                <w:sz w:val="21"/>
                <w:szCs w:val="21"/>
                <w:lang w:val="id-ID"/>
              </w:rPr>
            </w:pPr>
            <w:r>
              <w:rPr>
                <w:rFonts w:ascii="Arial" w:hAnsi="Arial" w:cs="Arial"/>
                <w:sz w:val="21"/>
                <w:szCs w:val="21"/>
                <w:lang w:val="id-ID"/>
              </w:rPr>
              <w:t>Ini akan mencakup:</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7"/>
              <w:widowControl w:val="0"/>
              <w:numPr>
                <w:ilvl w:val="1"/>
                <w:numId w:val="47"/>
              </w:numPr>
              <w:tabs>
                <w:tab w:val="clear" w:pos="720"/>
              </w:tabs>
              <w:spacing w:after="120"/>
              <w:rPr>
                <w:rFonts w:ascii="Arial" w:hAnsi="Arial" w:cs="Arial"/>
                <w:sz w:val="21"/>
                <w:szCs w:val="21"/>
                <w:lang w:val="id-ID"/>
              </w:rPr>
            </w:pPr>
            <w:r>
              <w:rPr>
                <w:rFonts w:ascii="Arial" w:hAnsi="Arial" w:cs="Arial"/>
                <w:sz w:val="21"/>
                <w:szCs w:val="21"/>
                <w:lang w:val="id-ID"/>
              </w:rPr>
              <w:t xml:space="preserve">tidak ada Cedera janji yang berlanjut atau akan dihasilkan dari usulan </w:t>
            </w:r>
            <w:r>
              <w:rPr>
                <w:rFonts w:ascii="Arial" w:hAnsi="Arial" w:cs="Arial"/>
                <w:sz w:val="21"/>
                <w:szCs w:val="21"/>
                <w:lang w:val="en-US"/>
              </w:rPr>
              <w:t>Penggunaan</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7"/>
              <w:widowControl w:val="0"/>
              <w:numPr>
                <w:ilvl w:val="1"/>
                <w:numId w:val="47"/>
              </w:numPr>
              <w:tabs>
                <w:tab w:val="clear" w:pos="720"/>
              </w:tabs>
              <w:spacing w:after="120"/>
              <w:rPr>
                <w:rFonts w:ascii="Arial" w:hAnsi="Arial" w:cs="Arial"/>
                <w:sz w:val="21"/>
                <w:szCs w:val="21"/>
                <w:lang w:val="id-ID"/>
              </w:rPr>
            </w:pPr>
            <w:r>
              <w:rPr>
                <w:rFonts w:ascii="Arial" w:hAnsi="Arial" w:cs="Arial"/>
                <w:sz w:val="21"/>
                <w:szCs w:val="21"/>
                <w:lang w:val="en-US"/>
              </w:rPr>
              <w:t>Pernyataan-pernyataan</w:t>
            </w:r>
            <w:r>
              <w:rPr>
                <w:rFonts w:ascii="Arial" w:hAnsi="Arial" w:cs="Arial"/>
                <w:sz w:val="21"/>
                <w:szCs w:val="21"/>
                <w:lang w:val="id-ID"/>
              </w:rPr>
              <w:t xml:space="preserve"> </w:t>
            </w:r>
            <w:r>
              <w:rPr>
                <w:rFonts w:ascii="Arial" w:hAnsi="Arial" w:cs="Arial"/>
                <w:sz w:val="21"/>
                <w:szCs w:val="21"/>
                <w:lang w:val="en-US"/>
              </w:rPr>
              <w:t>B</w:t>
            </w:r>
            <w:r>
              <w:rPr>
                <w:rFonts w:ascii="Arial" w:hAnsi="Arial" w:cs="Arial"/>
                <w:sz w:val="21"/>
                <w:szCs w:val="21"/>
                <w:lang w:val="id-ID"/>
              </w:rPr>
              <w:t>erulang</w:t>
            </w:r>
            <w:bookmarkStart w:id="249" w:name="_Ref335834059"/>
            <w:r>
              <w:rPr>
                <w:rStyle w:val="25"/>
                <w:rFonts w:ascii="Arial" w:hAnsi="Arial" w:cs="Arial"/>
                <w:sz w:val="21"/>
                <w:szCs w:val="21"/>
                <w:lang w:val="id-ID"/>
              </w:rPr>
              <w:footnoteReference w:id="176"/>
            </w:r>
            <w:bookmarkEnd w:id="249"/>
            <w:r>
              <w:rPr>
                <w:rFonts w:ascii="Arial" w:hAnsi="Arial" w:cs="Arial"/>
                <w:sz w:val="21"/>
                <w:szCs w:val="21"/>
                <w:lang w:val="id-ID"/>
              </w:rPr>
              <w:t xml:space="preserve"> adalah benar dan </w:t>
            </w:r>
            <w:r>
              <w:rPr>
                <w:rFonts w:ascii="Arial" w:hAnsi="Arial" w:cs="Arial"/>
                <w:sz w:val="21"/>
                <w:szCs w:val="21"/>
                <w:lang w:val="en-US"/>
              </w:rPr>
              <w:t xml:space="preserve">tepat </w:t>
            </w:r>
            <w:r>
              <w:rPr>
                <w:rFonts w:ascii="Arial" w:hAnsi="Arial" w:cs="Arial"/>
                <w:sz w:val="21"/>
                <w:szCs w:val="21"/>
                <w:lang w:val="id-ID"/>
              </w:rPr>
              <w:t>[dalam semua hal yang material];</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7"/>
              <w:widowControl w:val="0"/>
              <w:numPr>
                <w:ilvl w:val="1"/>
                <w:numId w:val="47"/>
              </w:numPr>
              <w:tabs>
                <w:tab w:val="clear" w:pos="720"/>
              </w:tabs>
              <w:spacing w:after="120"/>
              <w:rPr>
                <w:rFonts w:ascii="Arial" w:hAnsi="Arial" w:cs="Arial"/>
                <w:sz w:val="21"/>
                <w:szCs w:val="21"/>
                <w:lang w:val="id-ID"/>
              </w:rPr>
            </w:pPr>
            <w:r>
              <w:rPr>
                <w:rFonts w:ascii="Arial" w:hAnsi="Arial" w:cs="Arial"/>
                <w:sz w:val="21"/>
                <w:szCs w:val="21"/>
                <w:lang w:val="id-ID"/>
              </w:rPr>
              <w:t xml:space="preserve">bukti bahwa ekuitas telah dikontribusikan secara memadai sehingga </w:t>
            </w:r>
            <w:r>
              <w:rPr>
                <w:rFonts w:ascii="Arial" w:hAnsi="Arial" w:cs="Arial"/>
                <w:sz w:val="21"/>
                <w:szCs w:val="21"/>
                <w:lang w:val="en-US"/>
              </w:rPr>
              <w:t>Rasio Utang Terhadap Ekuitas (</w:t>
            </w:r>
            <w:r>
              <w:rPr>
                <w:rFonts w:ascii="Arial" w:hAnsi="Arial" w:cs="Arial"/>
                <w:i/>
                <w:iCs/>
                <w:sz w:val="21"/>
                <w:szCs w:val="21"/>
                <w:lang w:val="id-ID"/>
              </w:rPr>
              <w:t>Debt to Equity Ratio</w:t>
            </w:r>
            <w:r>
              <w:rPr>
                <w:rFonts w:ascii="Arial" w:hAnsi="Arial" w:cs="Arial"/>
                <w:sz w:val="21"/>
                <w:szCs w:val="21"/>
                <w:lang w:val="en-US"/>
              </w:rPr>
              <w:t>)</w:t>
            </w:r>
            <w:r>
              <w:rPr>
                <w:rFonts w:ascii="Arial" w:hAnsi="Arial" w:cs="Arial"/>
                <w:sz w:val="21"/>
                <w:szCs w:val="21"/>
                <w:lang w:val="id-ID"/>
              </w:rPr>
              <w:t xml:space="preserve"> paling sedikit [•] </w:t>
            </w:r>
            <w:r>
              <w:rPr>
                <w:rFonts w:ascii="Arial" w:hAnsi="Arial" w:cs="Arial"/>
                <w:sz w:val="21"/>
                <w:szCs w:val="21"/>
                <w:lang w:val="en-US"/>
              </w:rPr>
              <w:t>setelah Penggunaan</w:t>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7"/>
              <w:widowControl w:val="0"/>
              <w:numPr>
                <w:ilvl w:val="1"/>
                <w:numId w:val="47"/>
              </w:numPr>
              <w:tabs>
                <w:tab w:val="clear" w:pos="720"/>
              </w:tabs>
              <w:spacing w:after="120"/>
              <w:rPr>
                <w:rFonts w:ascii="Arial" w:hAnsi="Arial" w:cs="Arial"/>
                <w:sz w:val="21"/>
                <w:szCs w:val="21"/>
                <w:lang w:val="id-ID"/>
              </w:rPr>
            </w:pPr>
            <w:bookmarkStart w:id="250" w:name="_9kMI5L6ZWu8EB7DN"/>
            <w:bookmarkStart w:id="251" w:name="_9kMI5J7ZVw8EB79G"/>
            <w:r>
              <w:rPr>
                <w:rFonts w:ascii="Arial" w:hAnsi="Arial" w:cs="Arial"/>
                <w:sz w:val="21"/>
                <w:szCs w:val="21"/>
                <w:lang w:val="id-ID"/>
              </w:rPr>
              <w:t xml:space="preserve">semua laporan konstruksi telah disampaikan oleh Perusahaan Proyek sesuai dengan persyaratan Dokumen-dokumen Pembiayaan; </w:t>
            </w:r>
            <w:bookmarkEnd w:id="250"/>
            <w:bookmarkEnd w:id="251"/>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7"/>
              <w:widowControl w:val="0"/>
              <w:numPr>
                <w:ilvl w:val="1"/>
                <w:numId w:val="47"/>
              </w:numPr>
              <w:tabs>
                <w:tab w:val="clear" w:pos="720"/>
              </w:tabs>
              <w:spacing w:after="120"/>
              <w:rPr>
                <w:rFonts w:ascii="Arial" w:hAnsi="Arial" w:cs="Arial"/>
                <w:sz w:val="21"/>
                <w:szCs w:val="21"/>
                <w:lang w:val="id-ID"/>
              </w:rPr>
            </w:pPr>
            <w:bookmarkStart w:id="252" w:name="_Ref57407365"/>
            <w:r>
              <w:rPr>
                <w:rFonts w:ascii="Arial" w:hAnsi="Arial" w:cs="Arial"/>
                <w:sz w:val="21"/>
                <w:szCs w:val="21"/>
                <w:lang w:val="id-ID"/>
              </w:rPr>
              <w:t>sertifikasi dari Perusahaan Proyek bahwa:</w:t>
            </w:r>
            <w:bookmarkEnd w:id="252"/>
            <w:r>
              <w:rPr>
                <w:rFonts w:ascii="Arial" w:hAnsi="Arial" w:cs="Arial"/>
                <w:sz w:val="21"/>
                <w:szCs w:val="21"/>
                <w:lang w:val="id-ID"/>
              </w:rPr>
              <w:t xml:space="preserve"> </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6"/>
              <w:widowControl w:val="0"/>
              <w:numPr>
                <w:ilvl w:val="2"/>
                <w:numId w:val="47"/>
              </w:numPr>
              <w:tabs>
                <w:tab w:val="clear" w:pos="1440"/>
              </w:tabs>
              <w:spacing w:after="120"/>
              <w:rPr>
                <w:rFonts w:ascii="Arial" w:hAnsi="Arial" w:cs="Arial"/>
                <w:sz w:val="21"/>
                <w:szCs w:val="21"/>
                <w:lang w:val="id-ID"/>
              </w:rPr>
            </w:pPr>
            <w:r>
              <w:rPr>
                <w:rFonts w:ascii="Arial" w:hAnsi="Arial" w:cs="Arial"/>
                <w:sz w:val="21"/>
                <w:szCs w:val="21"/>
                <w:lang w:val="id-ID"/>
              </w:rPr>
              <w:t xml:space="preserve">penggunaan dana sesuai dengan anggaran pembangunan; </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6"/>
              <w:widowControl w:val="0"/>
              <w:numPr>
                <w:ilvl w:val="2"/>
                <w:numId w:val="47"/>
              </w:numPr>
              <w:tabs>
                <w:tab w:val="clear" w:pos="1440"/>
              </w:tabs>
              <w:spacing w:after="120"/>
              <w:rPr>
                <w:rFonts w:ascii="Arial" w:hAnsi="Arial" w:cs="Arial"/>
                <w:sz w:val="21"/>
                <w:szCs w:val="21"/>
                <w:lang w:val="id-ID"/>
              </w:rPr>
            </w:pPr>
            <w:r>
              <w:rPr>
                <w:rFonts w:ascii="Arial" w:hAnsi="Arial" w:cs="Arial"/>
                <w:sz w:val="21"/>
                <w:szCs w:val="21"/>
                <w:lang w:val="id-ID"/>
              </w:rPr>
              <w:t xml:space="preserve">Tanggal Penyelesaian Proyek akan dicapai pada atau sebelum Tanggal </w:t>
            </w:r>
            <w:r>
              <w:rPr>
                <w:rFonts w:ascii="Arial" w:hAnsi="Arial" w:cs="Arial"/>
                <w:i/>
                <w:iCs/>
                <w:sz w:val="21"/>
                <w:szCs w:val="21"/>
                <w:lang w:val="id-ID"/>
              </w:rPr>
              <w:t>Longstop</w:t>
            </w:r>
            <w:r>
              <w:rPr>
                <w:rFonts w:ascii="Arial" w:hAnsi="Arial" w:cs="Arial"/>
                <w:sz w:val="21"/>
                <w:szCs w:val="21"/>
                <w:lang w:val="id-ID"/>
              </w:rPr>
              <w:t>;</w:t>
            </w:r>
            <w:r>
              <w:rPr>
                <w:rStyle w:val="25"/>
                <w:rFonts w:ascii="Arial" w:hAnsi="Arial" w:cs="Arial"/>
                <w:sz w:val="21"/>
                <w:szCs w:val="21"/>
                <w:lang w:val="id-ID"/>
              </w:rPr>
              <w:t xml:space="preserve"> </w:t>
            </w:r>
            <w:r>
              <w:rPr>
                <w:rStyle w:val="25"/>
                <w:rFonts w:ascii="Arial" w:hAnsi="Arial" w:cs="Arial"/>
                <w:sz w:val="21"/>
                <w:szCs w:val="21"/>
                <w:lang w:val="id-ID"/>
              </w:rPr>
              <w:footnoteReference w:id="177"/>
            </w:r>
            <w:r>
              <w:rPr>
                <w:rFonts w:ascii="Arial" w:hAnsi="Arial" w:cs="Arial"/>
                <w:sz w:val="21"/>
                <w:szCs w:val="21"/>
                <w:lang w:val="id-ID"/>
              </w:rPr>
              <w:t xml:space="preserve"> dan</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6"/>
              <w:widowControl w:val="0"/>
              <w:numPr>
                <w:ilvl w:val="2"/>
                <w:numId w:val="47"/>
              </w:numPr>
              <w:tabs>
                <w:tab w:val="clear" w:pos="1440"/>
              </w:tabs>
              <w:spacing w:after="120"/>
              <w:rPr>
                <w:rFonts w:ascii="Arial" w:hAnsi="Arial" w:cs="Arial"/>
                <w:sz w:val="21"/>
                <w:szCs w:val="21"/>
                <w:lang w:val="id-ID"/>
              </w:rPr>
            </w:pPr>
            <w:r>
              <w:rPr>
                <w:rFonts w:ascii="Arial" w:hAnsi="Arial" w:cs="Arial"/>
                <w:sz w:val="21"/>
                <w:szCs w:val="21"/>
                <w:lang w:val="id-ID"/>
              </w:rPr>
              <w:t>[biaya penyelesaian tidak lebih besar dari sisa dana yang tersedia untuk Perusahaan Proyek;]</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7"/>
              <w:widowControl w:val="0"/>
              <w:numPr>
                <w:ilvl w:val="1"/>
                <w:numId w:val="47"/>
              </w:numPr>
              <w:tabs>
                <w:tab w:val="clear" w:pos="720"/>
              </w:tabs>
              <w:spacing w:after="120"/>
              <w:rPr>
                <w:rFonts w:ascii="Arial" w:hAnsi="Arial" w:cs="Arial"/>
                <w:sz w:val="21"/>
                <w:szCs w:val="21"/>
                <w:lang w:val="id-ID"/>
              </w:rPr>
            </w:pPr>
            <w:r>
              <w:rPr>
                <w:rFonts w:ascii="Arial" w:hAnsi="Arial" w:cs="Arial"/>
                <w:sz w:val="21"/>
                <w:szCs w:val="21"/>
                <w:lang w:val="id-ID"/>
              </w:rPr>
              <w:t>[konfirmasi dari Penasihat Teknis:</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6"/>
              <w:widowControl w:val="0"/>
              <w:numPr>
                <w:ilvl w:val="2"/>
                <w:numId w:val="47"/>
              </w:numPr>
              <w:tabs>
                <w:tab w:val="clear" w:pos="1440"/>
              </w:tabs>
              <w:spacing w:after="120"/>
              <w:rPr>
                <w:rFonts w:ascii="Arial" w:hAnsi="Arial" w:cs="Arial"/>
                <w:sz w:val="21"/>
                <w:szCs w:val="21"/>
                <w:lang w:val="id-ID"/>
              </w:rPr>
            </w:pPr>
            <w:r>
              <w:rPr>
                <w:rFonts w:ascii="Arial" w:hAnsi="Arial" w:cs="Arial"/>
                <w:sz w:val="21"/>
                <w:szCs w:val="21"/>
                <w:lang w:val="id-ID"/>
              </w:rPr>
              <w:t>bahwa tonggak pembangunan yang relevan telah dicapai; dan</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6"/>
              <w:numPr>
                <w:ilvl w:val="2"/>
                <w:numId w:val="47"/>
              </w:numPr>
              <w:tabs>
                <w:tab w:val="clear" w:pos="1440"/>
              </w:tabs>
              <w:spacing w:after="120"/>
              <w:rPr>
                <w:rFonts w:ascii="Arial" w:hAnsi="Arial" w:cs="Arial"/>
                <w:sz w:val="21"/>
                <w:szCs w:val="21"/>
                <w:lang w:val="id-ID"/>
              </w:rPr>
            </w:pPr>
            <w:r>
              <w:rPr>
                <w:rFonts w:ascii="Arial" w:hAnsi="Arial" w:cs="Arial"/>
                <w:sz w:val="21"/>
                <w:szCs w:val="21"/>
                <w:lang w:val="id-ID"/>
              </w:rPr>
              <w:t xml:space="preserve">hal-hal sebagaimana dimaksud dalam </w:t>
            </w:r>
            <w:r>
              <w:rPr>
                <w:rFonts w:ascii="Arial" w:hAnsi="Arial" w:cs="Arial"/>
                <w:sz w:val="21"/>
                <w:szCs w:val="21"/>
                <w:lang w:val="en-US"/>
              </w:rPr>
              <w:t>ayat</w:t>
            </w:r>
            <w:r>
              <w:rPr>
                <w:rFonts w:ascii="Arial" w:hAnsi="Arial" w:cs="Arial"/>
                <w:sz w:val="21"/>
                <w:szCs w:val="21"/>
                <w:lang w:val="id-ID"/>
              </w:rPr>
              <w:t xml:space="preserve"> (e) di atas;</w:t>
            </w:r>
            <w:bookmarkStart w:id="253" w:name="_9kR3WTr67349FDFJ"/>
            <w:r>
              <w:rPr>
                <w:rFonts w:ascii="Arial" w:hAnsi="Arial" w:cs="Arial"/>
                <w:sz w:val="21"/>
                <w:szCs w:val="21"/>
                <w:lang w:val="id-ID"/>
              </w:rPr>
              <w:t>]</w:t>
            </w:r>
            <w:bookmarkEnd w:id="253"/>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7"/>
              <w:widowControl w:val="0"/>
              <w:numPr>
                <w:ilvl w:val="1"/>
                <w:numId w:val="47"/>
              </w:numPr>
              <w:tabs>
                <w:tab w:val="clear" w:pos="720"/>
              </w:tabs>
              <w:spacing w:after="120"/>
              <w:rPr>
                <w:rFonts w:ascii="Arial" w:hAnsi="Arial" w:cs="Arial"/>
                <w:sz w:val="21"/>
                <w:szCs w:val="21"/>
                <w:lang w:val="id-ID"/>
              </w:rPr>
            </w:pPr>
            <w:r>
              <w:rPr>
                <w:rFonts w:ascii="Arial" w:hAnsi="Arial" w:cs="Arial"/>
                <w:sz w:val="21"/>
                <w:szCs w:val="21"/>
                <w:lang w:val="id-ID"/>
              </w:rPr>
              <w:t xml:space="preserve">[tidak ada </w:t>
            </w:r>
            <w:r>
              <w:rPr>
                <w:rFonts w:ascii="Arial" w:hAnsi="Arial" w:cs="Arial"/>
                <w:sz w:val="21"/>
                <w:szCs w:val="21"/>
                <w:lang w:val="en-US"/>
              </w:rPr>
              <w:t>keadaan memaksa</w:t>
            </w:r>
            <w:r>
              <w:rPr>
                <w:rFonts w:ascii="Arial" w:hAnsi="Arial" w:cs="Arial"/>
                <w:sz w:val="21"/>
                <w:szCs w:val="21"/>
                <w:lang w:val="id-ID"/>
              </w:rPr>
              <w:t xml:space="preserve"> yang berlanjut [yang kemungkinan besar memiliki Dampak Merugikan </w:t>
            </w:r>
            <w:r>
              <w:rPr>
                <w:rFonts w:ascii="Arial" w:hAnsi="Arial" w:cs="Arial"/>
                <w:sz w:val="21"/>
                <w:szCs w:val="21"/>
                <w:lang w:val="en-US"/>
              </w:rPr>
              <w:t xml:space="preserve">Yang </w:t>
            </w:r>
            <w:r>
              <w:rPr>
                <w:rFonts w:ascii="Arial" w:hAnsi="Arial" w:cs="Arial"/>
                <w:sz w:val="21"/>
                <w:szCs w:val="21"/>
                <w:lang w:val="id-ID"/>
              </w:rPr>
              <w:t>Material]];</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7"/>
              <w:widowControl w:val="0"/>
              <w:numPr>
                <w:ilvl w:val="1"/>
                <w:numId w:val="47"/>
              </w:numPr>
              <w:tabs>
                <w:tab w:val="clear" w:pos="720"/>
              </w:tabs>
              <w:spacing w:after="120"/>
              <w:rPr>
                <w:rFonts w:ascii="Arial" w:hAnsi="Arial" w:cs="Arial"/>
                <w:sz w:val="21"/>
                <w:szCs w:val="21"/>
                <w:lang w:val="id-ID"/>
              </w:rPr>
            </w:pPr>
            <w:r>
              <w:rPr>
                <w:rFonts w:ascii="Arial" w:hAnsi="Arial" w:cs="Arial"/>
                <w:sz w:val="21"/>
                <w:szCs w:val="21"/>
                <w:lang w:val="id-ID"/>
              </w:rPr>
              <w:t>[</w:t>
            </w:r>
            <w:r>
              <w:rPr>
                <w:rFonts w:ascii="Arial" w:hAnsi="Arial" w:cs="Arial"/>
                <w:i/>
                <w:iCs/>
                <w:sz w:val="21"/>
                <w:szCs w:val="21"/>
                <w:lang w:val="id-ID"/>
              </w:rPr>
              <w:t>lainnya</w:t>
            </w:r>
            <w:r>
              <w:rPr>
                <w:rFonts w:ascii="Arial" w:hAnsi="Arial" w:cs="Arial"/>
                <w:sz w:val="21"/>
                <w:szCs w:val="21"/>
                <w:lang w:val="id-ID"/>
              </w:rPr>
              <w:t>]</w:t>
            </w:r>
            <w:r>
              <w:rPr>
                <w:rStyle w:val="25"/>
                <w:rFonts w:ascii="Arial" w:hAnsi="Arial" w:cs="Arial"/>
                <w:sz w:val="21"/>
                <w:szCs w:val="21"/>
                <w:lang w:val="id-ID"/>
              </w:rPr>
              <w:footnoteReference w:id="178"/>
            </w:r>
            <w:r>
              <w:rPr>
                <w:rFonts w:ascii="Arial" w:hAnsi="Arial" w:cs="Arial"/>
                <w:sz w:val="21"/>
                <w:szCs w:val="21"/>
                <w:lang w:val="id-ID"/>
              </w:rPr>
              <w:t>; [dan]</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57"/>
              <w:widowControl w:val="0"/>
              <w:numPr>
                <w:ilvl w:val="1"/>
                <w:numId w:val="47"/>
              </w:numPr>
              <w:tabs>
                <w:tab w:val="clear" w:pos="720"/>
              </w:tabs>
              <w:spacing w:after="120"/>
              <w:rPr>
                <w:rFonts w:ascii="Arial" w:hAnsi="Arial" w:cs="Arial"/>
                <w:sz w:val="21"/>
                <w:szCs w:val="21"/>
                <w:lang w:val="id-ID"/>
              </w:rPr>
            </w:pPr>
            <w:r>
              <w:rPr>
                <w:rFonts w:ascii="Arial" w:hAnsi="Arial" w:cs="Arial"/>
                <w:sz w:val="21"/>
                <w:szCs w:val="21"/>
                <w:lang w:val="id-ID"/>
              </w:rPr>
              <w:t>Permintaan Pengunaan telah disampaikan sesuai dengan persyaratan Dokumen</w:t>
            </w:r>
            <w:r>
              <w:rPr>
                <w:rFonts w:ascii="Arial" w:hAnsi="Arial" w:cs="Arial"/>
                <w:sz w:val="21"/>
                <w:szCs w:val="21"/>
                <w:lang w:val="en-US"/>
              </w:rPr>
              <w:t>-dokumen</w:t>
            </w:r>
            <w:r>
              <w:rPr>
                <w:rFonts w:ascii="Arial" w:hAnsi="Arial" w:cs="Arial"/>
                <w:sz w:val="21"/>
                <w:szCs w:val="21"/>
                <w:lang w:val="id-ID"/>
              </w:rPr>
              <w:t xml:space="preserve"> Pembiayaan</w:t>
            </w:r>
            <w:r>
              <w:rPr>
                <w:rStyle w:val="25"/>
                <w:rFonts w:ascii="Arial" w:hAnsi="Arial" w:cs="Arial"/>
                <w:sz w:val="21"/>
                <w:szCs w:val="21"/>
                <w:lang w:val="id-ID"/>
              </w:rPr>
              <w:footnoteReference w:id="179"/>
            </w:r>
            <w:r>
              <w:rPr>
                <w:rFonts w:ascii="Arial" w:hAnsi="Arial" w:cs="Arial"/>
                <w:sz w:val="21"/>
                <w:szCs w:val="21"/>
                <w:lang w:val="id-ID"/>
              </w:rPr>
              <w:t>.</w:t>
            </w:r>
          </w:p>
        </w:tc>
      </w:tr>
      <w:tr>
        <w:tblPrEx>
          <w:tblCellMar>
            <w:top w:w="0" w:type="dxa"/>
            <w:left w:w="108" w:type="dxa"/>
            <w:bottom w:w="0" w:type="dxa"/>
            <w:right w:w="108" w:type="dxa"/>
          </w:tblCellMar>
        </w:tblPrEx>
        <w:tc>
          <w:tcPr>
            <w:tcW w:w="3431" w:type="dxa"/>
          </w:tcPr>
          <w:p>
            <w:pPr>
              <w:pStyle w:val="105"/>
              <w:keepNext w:val="0"/>
              <w:tabs>
                <w:tab w:val="clear" w:pos="720"/>
              </w:tabs>
              <w:spacing w:after="120"/>
              <w:rPr>
                <w:rFonts w:ascii="Arial" w:hAnsi="Arial" w:cs="Arial"/>
                <w:b w:val="0"/>
                <w:sz w:val="21"/>
                <w:szCs w:val="21"/>
                <w:lang w:val="id-ID"/>
              </w:rPr>
            </w:pPr>
            <w:bookmarkStart w:id="254" w:name="_Toc74860719"/>
            <w:bookmarkStart w:id="255" w:name="_Toc74557573"/>
            <w:r>
              <w:rPr>
                <w:rFonts w:ascii="Arial" w:hAnsi="Arial" w:cs="Arial"/>
                <w:sz w:val="21"/>
                <w:szCs w:val="21"/>
                <w:lang w:val="id-ID"/>
              </w:rPr>
              <w:t>Ketentuan-ketentuan lain:</w:t>
            </w:r>
            <w:bookmarkEnd w:id="254"/>
            <w:bookmarkEnd w:id="255"/>
          </w:p>
        </w:tc>
        <w:tc>
          <w:tcPr>
            <w:tcW w:w="5236" w:type="dxa"/>
          </w:tcPr>
          <w:p>
            <w:pPr>
              <w:widowControl w:val="0"/>
              <w:spacing w:after="120"/>
              <w:rPr>
                <w:rFonts w:ascii="Arial" w:hAnsi="Arial" w:cs="Arial"/>
                <w:sz w:val="21"/>
                <w:szCs w:val="21"/>
                <w:lang w:val="id-ID"/>
              </w:rPr>
            </w:pPr>
            <w:r>
              <w:rPr>
                <w:rFonts w:ascii="Arial" w:hAnsi="Arial" w:cs="Arial"/>
                <w:sz w:val="21"/>
                <w:szCs w:val="21"/>
                <w:lang w:val="id-ID"/>
              </w:rPr>
              <w:t xml:space="preserve">Dokumen Pembiayaan akan berisi ketentuan standar untuk transaksi semacam ini berdasarkan bentuk yang direkomendasikan saat ini dari perjanjian fasilitas multi mata uang hukum Singapura dari APLMA dan sebaliknya dalam </w:t>
            </w:r>
            <w:r>
              <w:rPr>
                <w:rFonts w:ascii="Arial" w:hAnsi="Arial" w:cs="Arial"/>
                <w:sz w:val="21"/>
                <w:szCs w:val="21"/>
                <w:lang w:val="en-US"/>
              </w:rPr>
              <w:t xml:space="preserve">format </w:t>
            </w:r>
            <w:r>
              <w:rPr>
                <w:rFonts w:ascii="Arial" w:hAnsi="Arial" w:cs="Arial"/>
                <w:sz w:val="21"/>
                <w:szCs w:val="21"/>
                <w:lang w:val="id-ID"/>
              </w:rPr>
              <w:t>dan substansi yang memuaskan [</w:t>
            </w:r>
            <w:r>
              <w:rPr>
                <w:rFonts w:ascii="Arial" w:hAnsi="Arial" w:cs="Arial"/>
                <w:i/>
                <w:iCs/>
                <w:sz w:val="21"/>
                <w:szCs w:val="21"/>
                <w:lang w:val="id-ID"/>
              </w:rPr>
              <w:t>Mandated Lead Arrangers[s]</w:t>
            </w:r>
            <w:r>
              <w:rPr>
                <w:rFonts w:ascii="Arial" w:hAnsi="Arial" w:cs="Arial"/>
                <w:sz w:val="21"/>
                <w:szCs w:val="21"/>
                <w:lang w:val="id-ID"/>
              </w:rPr>
              <w:t xml:space="preserve">[dan] Para Kreditur]] yang berkaitan dengan, antara lain, bunga </w:t>
            </w:r>
            <w:r>
              <w:rPr>
                <w:rFonts w:ascii="Arial" w:hAnsi="Arial" w:cs="Arial"/>
                <w:sz w:val="21"/>
                <w:szCs w:val="21"/>
                <w:lang w:val="en-US"/>
              </w:rPr>
              <w:t>cedera janji</w:t>
            </w:r>
            <w:r>
              <w:rPr>
                <w:rFonts w:ascii="Arial" w:hAnsi="Arial" w:cs="Arial"/>
                <w:sz w:val="21"/>
                <w:szCs w:val="21"/>
                <w:lang w:val="id-ID"/>
              </w:rPr>
              <w:t xml:space="preserve">, gangguan pasar, biaya pemutusan, </w:t>
            </w:r>
            <w:r>
              <w:rPr>
                <w:rFonts w:ascii="Arial" w:hAnsi="Arial" w:cs="Arial"/>
                <w:i/>
                <w:iCs/>
                <w:sz w:val="21"/>
                <w:szCs w:val="21"/>
                <w:lang w:val="en-US"/>
              </w:rPr>
              <w:t>tax gross up</w:t>
            </w:r>
            <w:r>
              <w:rPr>
                <w:rFonts w:ascii="Arial" w:hAnsi="Arial" w:cs="Arial"/>
                <w:sz w:val="21"/>
                <w:szCs w:val="21"/>
                <w:lang w:val="en-US"/>
              </w:rPr>
              <w:t xml:space="preserve"> </w:t>
            </w:r>
            <w:r>
              <w:rPr>
                <w:rFonts w:ascii="Arial" w:hAnsi="Arial" w:cs="Arial"/>
                <w:sz w:val="21"/>
                <w:szCs w:val="21"/>
                <w:lang w:val="id-ID"/>
              </w:rPr>
              <w:t xml:space="preserve">dan </w:t>
            </w:r>
            <w:r>
              <w:rPr>
                <w:rFonts w:ascii="Arial" w:hAnsi="Arial" w:cs="Arial"/>
                <w:sz w:val="21"/>
                <w:szCs w:val="21"/>
                <w:lang w:val="en-US"/>
              </w:rPr>
              <w:t xml:space="preserve">indemnitas </w:t>
            </w:r>
            <w:r>
              <w:rPr>
                <w:rFonts w:ascii="Arial" w:hAnsi="Arial" w:cs="Arial"/>
                <w:sz w:val="21"/>
                <w:szCs w:val="21"/>
                <w:lang w:val="id-ID"/>
              </w:rPr>
              <w:t>termasuk FATCA</w:t>
            </w:r>
            <w:r>
              <w:rPr>
                <w:rStyle w:val="25"/>
                <w:rFonts w:ascii="Arial" w:hAnsi="Arial" w:cs="Arial"/>
                <w:sz w:val="21"/>
                <w:szCs w:val="21"/>
                <w:lang w:val="id-ID"/>
              </w:rPr>
              <w:footnoteReference w:id="180"/>
            </w:r>
            <w:r>
              <w:rPr>
                <w:rFonts w:ascii="Arial" w:hAnsi="Arial" w:cs="Arial"/>
                <w:sz w:val="21"/>
                <w:szCs w:val="21"/>
                <w:lang w:val="id-ID"/>
              </w:rPr>
              <w:t>,  peningkatan biaya,</w:t>
            </w:r>
            <w:bookmarkStart w:id="256" w:name="_9kR3WTr67349GEFN"/>
            <w:r>
              <w:rPr>
                <w:rStyle w:val="25"/>
                <w:rFonts w:ascii="Arial" w:hAnsi="Arial" w:cs="Arial"/>
                <w:sz w:val="21"/>
                <w:szCs w:val="21"/>
                <w:lang w:val="id-ID"/>
              </w:rPr>
              <w:footnoteReference w:id="181"/>
            </w:r>
            <w:bookmarkEnd w:id="256"/>
            <w:r>
              <w:rPr>
                <w:rFonts w:ascii="Arial" w:hAnsi="Arial" w:cs="Arial"/>
                <w:sz w:val="21"/>
                <w:szCs w:val="21"/>
                <w:lang w:val="en-US"/>
              </w:rPr>
              <w:t xml:space="preserve"> perjumpaan utang</w:t>
            </w:r>
            <w:r>
              <w:rPr>
                <w:rFonts w:ascii="Arial" w:hAnsi="Arial" w:cs="Arial"/>
                <w:sz w:val="21"/>
                <w:szCs w:val="21"/>
                <w:lang w:val="id-ID"/>
              </w:rPr>
              <w:t xml:space="preserve">, administrasi dan perubahan mata uang.  </w:t>
            </w:r>
          </w:p>
        </w:tc>
      </w:tr>
      <w:tr>
        <w:tblPrEx>
          <w:tblCellMar>
            <w:top w:w="0" w:type="dxa"/>
            <w:left w:w="108" w:type="dxa"/>
            <w:bottom w:w="0" w:type="dxa"/>
            <w:right w:w="108" w:type="dxa"/>
          </w:tblCellMar>
        </w:tblPrEx>
        <w:tc>
          <w:tcPr>
            <w:tcW w:w="3431" w:type="dxa"/>
          </w:tcPr>
          <w:p>
            <w:pPr>
              <w:pStyle w:val="105"/>
              <w:keepNext w:val="0"/>
              <w:tabs>
                <w:tab w:val="clear" w:pos="720"/>
              </w:tabs>
              <w:spacing w:after="120"/>
              <w:rPr>
                <w:rFonts w:ascii="Arial" w:hAnsi="Arial" w:cs="Arial"/>
                <w:b w:val="0"/>
                <w:sz w:val="21"/>
                <w:szCs w:val="21"/>
                <w:lang w:val="id-ID"/>
              </w:rPr>
            </w:pPr>
            <w:bookmarkStart w:id="257" w:name="_Toc74860720"/>
            <w:bookmarkStart w:id="258" w:name="_Toc74557574"/>
            <w:r>
              <w:rPr>
                <w:rFonts w:ascii="Arial" w:hAnsi="Arial" w:cs="Arial"/>
                <w:i/>
                <w:iCs/>
                <w:sz w:val="21"/>
                <w:szCs w:val="21"/>
                <w:lang w:val="en-US"/>
              </w:rPr>
              <w:t>Tax Gross Up</w:t>
            </w:r>
            <w:r>
              <w:rPr>
                <w:rFonts w:ascii="Arial" w:hAnsi="Arial" w:cs="Arial"/>
                <w:sz w:val="21"/>
                <w:szCs w:val="21"/>
                <w:lang w:val="id-ID"/>
              </w:rPr>
              <w:t>:</w:t>
            </w:r>
            <w:bookmarkEnd w:id="257"/>
            <w:bookmarkEnd w:id="258"/>
          </w:p>
        </w:tc>
        <w:tc>
          <w:tcPr>
            <w:tcW w:w="5236" w:type="dxa"/>
          </w:tcPr>
          <w:p>
            <w:pPr>
              <w:widowControl w:val="0"/>
              <w:spacing w:after="120"/>
              <w:rPr>
                <w:rFonts w:ascii="Arial" w:hAnsi="Arial" w:cs="Arial"/>
                <w:sz w:val="21"/>
                <w:szCs w:val="21"/>
                <w:lang w:val="id-ID"/>
              </w:rPr>
            </w:pPr>
            <w:r>
              <w:rPr>
                <w:rFonts w:ascii="Arial" w:hAnsi="Arial" w:cs="Arial"/>
                <w:sz w:val="21"/>
                <w:szCs w:val="21"/>
                <w:lang w:val="id-ID"/>
              </w:rPr>
              <w:t>Semua pembayaran yang harus dilakukan oleh Perusahaan Proyek[[,</w:t>
            </w:r>
            <w:r>
              <w:rPr>
                <w:rFonts w:ascii="Arial" w:hAnsi="Arial" w:cs="Arial"/>
                <w:sz w:val="21"/>
                <w:szCs w:val="21"/>
                <w:lang w:val="en-US"/>
              </w:rPr>
              <w:t xml:space="preserve">Para </w:t>
            </w:r>
            <w:r>
              <w:rPr>
                <w:rFonts w:ascii="Arial" w:hAnsi="Arial" w:cs="Arial"/>
                <w:sz w:val="21"/>
                <w:szCs w:val="21"/>
                <w:lang w:val="id-ID"/>
              </w:rPr>
              <w:t>Pemegang Saham][dan] Para Sponsor]</w:t>
            </w:r>
            <w:bookmarkStart w:id="259" w:name="_9kMH3I7ZVw8EB7AE"/>
            <w:bookmarkStart w:id="260" w:name="_9kMH3K6ZWu8EB7EL"/>
            <w:r>
              <w:rPr>
                <w:rFonts w:ascii="Arial" w:hAnsi="Arial" w:cs="Arial"/>
                <w:sz w:val="21"/>
                <w:szCs w:val="21"/>
                <w:lang w:val="id-ID"/>
              </w:rPr>
              <w:t>]</w:t>
            </w:r>
            <w:bookmarkEnd w:id="259"/>
            <w:bookmarkEnd w:id="260"/>
            <w:r>
              <w:rPr>
                <w:rFonts w:ascii="Arial" w:hAnsi="Arial" w:cs="Arial"/>
                <w:sz w:val="21"/>
                <w:szCs w:val="21"/>
                <w:lang w:val="id-ID"/>
              </w:rPr>
              <w:t xml:space="preserve"> akan bebas dan terlepas dari semua pajak sekarang dan yang akan datang, kecuali diwajibkan oleh hukum</w:t>
            </w:r>
            <w:bookmarkStart w:id="261" w:name="_9kMML5YVt7FC6CF"/>
            <w:r>
              <w:rPr>
                <w:rFonts w:ascii="Arial" w:hAnsi="Arial" w:cs="Arial"/>
                <w:sz w:val="21"/>
                <w:szCs w:val="21"/>
                <w:lang w:val="id-ID"/>
              </w:rPr>
              <w:t>.</w:t>
            </w:r>
            <w:bookmarkEnd w:id="261"/>
            <w:r>
              <w:rPr>
                <w:rFonts w:ascii="Arial" w:hAnsi="Arial" w:cs="Arial"/>
                <w:sz w:val="21"/>
                <w:szCs w:val="21"/>
                <w:lang w:val="id-ID"/>
              </w:rPr>
              <w:t xml:space="preserve"> Jika pemotongan diperlukan, pihak terkait akan membayar jumlah tambahan yang diperlukan untuk memastikan bahwa Pihak Pembiayaan terkait menerima jumlah yang seharusnya diterima jika pengurangan tersebut tidak</w:t>
            </w:r>
            <w:r>
              <w:rPr>
                <w:rFonts w:ascii="Arial" w:hAnsi="Arial" w:cs="Arial"/>
                <w:sz w:val="21"/>
                <w:szCs w:val="21"/>
                <w:lang w:val="en-US"/>
              </w:rPr>
              <w:t xml:space="preserve"> </w:t>
            </w:r>
            <w:r>
              <w:rPr>
                <w:rFonts w:ascii="Arial" w:hAnsi="Arial" w:cs="Arial"/>
                <w:sz w:val="21"/>
                <w:szCs w:val="21"/>
                <w:lang w:val="id-ID"/>
              </w:rPr>
              <w:t xml:space="preserve">diperlukan. </w:t>
            </w:r>
          </w:p>
        </w:tc>
      </w:tr>
      <w:tr>
        <w:tblPrEx>
          <w:tblCellMar>
            <w:top w:w="0" w:type="dxa"/>
            <w:left w:w="108" w:type="dxa"/>
            <w:bottom w:w="0" w:type="dxa"/>
            <w:right w:w="108" w:type="dxa"/>
          </w:tblCellMar>
        </w:tblPrEx>
        <w:tc>
          <w:tcPr>
            <w:tcW w:w="3431" w:type="dxa"/>
          </w:tcPr>
          <w:p>
            <w:pPr>
              <w:pStyle w:val="105"/>
              <w:keepNext w:val="0"/>
              <w:tabs>
                <w:tab w:val="clear" w:pos="720"/>
              </w:tabs>
              <w:spacing w:after="120"/>
              <w:rPr>
                <w:rFonts w:ascii="Arial" w:hAnsi="Arial" w:cs="Arial"/>
                <w:b w:val="0"/>
                <w:sz w:val="21"/>
                <w:szCs w:val="21"/>
                <w:lang w:val="id-ID"/>
              </w:rPr>
            </w:pPr>
            <w:bookmarkStart w:id="262" w:name="_Toc74557575"/>
            <w:bookmarkStart w:id="263" w:name="_Toc74860721"/>
            <w:r>
              <w:rPr>
                <w:rFonts w:ascii="Arial" w:hAnsi="Arial" w:cs="Arial"/>
                <w:sz w:val="21"/>
                <w:szCs w:val="21"/>
                <w:lang w:val="id-ID"/>
              </w:rPr>
              <w:t>Biaya</w:t>
            </w:r>
            <w:r>
              <w:rPr>
                <w:rFonts w:ascii="Arial" w:hAnsi="Arial" w:cs="Arial"/>
                <w:sz w:val="21"/>
                <w:szCs w:val="21"/>
                <w:lang w:val="en-US"/>
              </w:rPr>
              <w:t>-biaya</w:t>
            </w:r>
            <w:r>
              <w:rPr>
                <w:rFonts w:ascii="Arial" w:hAnsi="Arial" w:cs="Arial"/>
                <w:sz w:val="21"/>
                <w:szCs w:val="21"/>
                <w:lang w:val="id-ID"/>
              </w:rPr>
              <w:t xml:space="preserve"> dan Pengeluaran</w:t>
            </w:r>
            <w:r>
              <w:rPr>
                <w:rFonts w:ascii="Arial" w:hAnsi="Arial" w:cs="Arial"/>
                <w:sz w:val="21"/>
                <w:szCs w:val="21"/>
                <w:lang w:val="en-US"/>
              </w:rPr>
              <w:t>-pengeluaran</w:t>
            </w:r>
            <w:r>
              <w:rPr>
                <w:rFonts w:ascii="Arial" w:hAnsi="Arial" w:cs="Arial"/>
                <w:sz w:val="21"/>
                <w:szCs w:val="21"/>
                <w:lang w:val="id-ID"/>
              </w:rPr>
              <w:t>:</w:t>
            </w:r>
            <w:bookmarkEnd w:id="262"/>
            <w:bookmarkEnd w:id="263"/>
          </w:p>
        </w:tc>
        <w:tc>
          <w:tcPr>
            <w:tcW w:w="5236" w:type="dxa"/>
          </w:tcPr>
          <w:p>
            <w:pPr>
              <w:widowControl w:val="0"/>
              <w:spacing w:after="120"/>
              <w:rPr>
                <w:rFonts w:ascii="Arial" w:hAnsi="Arial" w:cs="Arial"/>
                <w:sz w:val="21"/>
                <w:szCs w:val="21"/>
                <w:lang w:val="id-ID"/>
              </w:rPr>
            </w:pPr>
            <w:r>
              <w:rPr>
                <w:rFonts w:ascii="Arial" w:hAnsi="Arial" w:cs="Arial"/>
                <w:sz w:val="21"/>
                <w:szCs w:val="21"/>
                <w:lang w:val="id-ID"/>
              </w:rPr>
              <w:t xml:space="preserve">Semua biaya dan pengeluaran (termasuk biaya hukum) yang secara wajar dikeluarkan oleh Agen </w:t>
            </w:r>
            <w:r>
              <w:rPr>
                <w:rFonts w:ascii="Arial" w:hAnsi="Arial" w:cs="Arial"/>
                <w:sz w:val="21"/>
                <w:szCs w:val="21"/>
                <w:lang w:val="en-US"/>
              </w:rPr>
              <w:t>Antarkreditur</w:t>
            </w:r>
            <w:r>
              <w:rPr>
                <w:rFonts w:ascii="Arial" w:hAnsi="Arial" w:cs="Arial"/>
                <w:sz w:val="21"/>
                <w:szCs w:val="21"/>
                <w:lang w:val="id-ID"/>
              </w:rPr>
              <w:t xml:space="preserve"> dan </w:t>
            </w:r>
            <w:r>
              <w:rPr>
                <w:rFonts w:ascii="Arial" w:hAnsi="Arial" w:cs="Arial"/>
                <w:sz w:val="21"/>
                <w:szCs w:val="21"/>
                <w:lang w:val="en-US"/>
              </w:rPr>
              <w:t xml:space="preserve">Para </w:t>
            </w:r>
            <w:r>
              <w:rPr>
                <w:rFonts w:ascii="Arial" w:hAnsi="Arial" w:cs="Arial"/>
                <w:i/>
                <w:iCs/>
                <w:sz w:val="21"/>
                <w:szCs w:val="21"/>
                <w:lang w:val="id-ID"/>
              </w:rPr>
              <w:t>Mandated Lead Arranger</w:t>
            </w:r>
            <w:r>
              <w:rPr>
                <w:rFonts w:ascii="Arial" w:hAnsi="Arial" w:cs="Arial"/>
                <w:sz w:val="21"/>
                <w:szCs w:val="21"/>
                <w:lang w:val="id-ID"/>
              </w:rPr>
              <w:t xml:space="preserve"> sehubungan dengan persiapan, negosiasi, pencetakan, pelaksanaan, implementasi, penerjemahan, sindikasi, penyempurnaan dan pendaftaran dari Dokumen-dokumen Pembiayaan dan dokumen lain yang dirujuk di dalamnya harus segera dibayar oleh Perusahaan Proyek atas permintaan apakah Perjanjian </w:t>
            </w:r>
            <w:r>
              <w:rPr>
                <w:rFonts w:ascii="Arial" w:hAnsi="Arial" w:cs="Arial"/>
                <w:sz w:val="21"/>
                <w:szCs w:val="21"/>
                <w:lang w:val="en-US"/>
              </w:rPr>
              <w:t xml:space="preserve">Ketentuan-ketentuan </w:t>
            </w:r>
            <w:r>
              <w:rPr>
                <w:rFonts w:ascii="Arial" w:hAnsi="Arial" w:cs="Arial"/>
                <w:sz w:val="21"/>
                <w:szCs w:val="21"/>
                <w:lang w:val="id-ID"/>
              </w:rPr>
              <w:t>Umum ditandatangani atau tidak.</w:t>
            </w:r>
          </w:p>
        </w:tc>
      </w:tr>
      <w:tr>
        <w:tblPrEx>
          <w:tblCellMar>
            <w:top w:w="0" w:type="dxa"/>
            <w:left w:w="108" w:type="dxa"/>
            <w:bottom w:w="0" w:type="dxa"/>
            <w:right w:w="108" w:type="dxa"/>
          </w:tblCellMar>
        </w:tblPrEx>
        <w:tc>
          <w:tcPr>
            <w:tcW w:w="3431" w:type="dxa"/>
          </w:tcPr>
          <w:p>
            <w:pPr>
              <w:pStyle w:val="105"/>
              <w:keepNext w:val="0"/>
              <w:tabs>
                <w:tab w:val="clear" w:pos="720"/>
              </w:tabs>
              <w:spacing w:after="120"/>
              <w:rPr>
                <w:rFonts w:ascii="Arial" w:hAnsi="Arial" w:cs="Arial"/>
                <w:b w:val="0"/>
                <w:sz w:val="21"/>
                <w:szCs w:val="21"/>
                <w:lang w:val="id-ID"/>
              </w:rPr>
            </w:pPr>
            <w:bookmarkStart w:id="264" w:name="_Toc74860722"/>
            <w:bookmarkStart w:id="265" w:name="_Toc74557576"/>
            <w:r>
              <w:rPr>
                <w:rFonts w:ascii="Arial" w:hAnsi="Arial" w:cs="Arial"/>
                <w:sz w:val="21"/>
                <w:szCs w:val="21"/>
                <w:lang w:val="id-ID"/>
              </w:rPr>
              <w:t xml:space="preserve">Hukum </w:t>
            </w:r>
            <w:r>
              <w:rPr>
                <w:rFonts w:ascii="Arial" w:hAnsi="Arial" w:cs="Arial"/>
                <w:sz w:val="21"/>
                <w:szCs w:val="21"/>
                <w:lang w:val="en-US"/>
              </w:rPr>
              <w:t>Y</w:t>
            </w:r>
            <w:r>
              <w:rPr>
                <w:rFonts w:ascii="Arial" w:hAnsi="Arial" w:cs="Arial"/>
                <w:sz w:val="21"/>
                <w:szCs w:val="21"/>
                <w:lang w:val="id-ID"/>
              </w:rPr>
              <w:t>ang Mengatur:</w:t>
            </w:r>
            <w:bookmarkEnd w:id="264"/>
            <w:bookmarkEnd w:id="265"/>
          </w:p>
        </w:tc>
        <w:tc>
          <w:tcPr>
            <w:tcW w:w="5236" w:type="dxa"/>
          </w:tcPr>
          <w:p>
            <w:pPr>
              <w:widowControl w:val="0"/>
              <w:spacing w:after="120"/>
              <w:rPr>
                <w:rFonts w:ascii="Arial" w:hAnsi="Arial" w:cs="Arial"/>
                <w:sz w:val="21"/>
                <w:szCs w:val="21"/>
                <w:lang w:val="id-ID"/>
              </w:rPr>
            </w:pPr>
            <w:r>
              <w:rPr>
                <w:rFonts w:ascii="Arial" w:hAnsi="Arial" w:cs="Arial"/>
                <w:sz w:val="21"/>
                <w:szCs w:val="21"/>
                <w:lang w:val="id-ID"/>
              </w:rPr>
              <w:t>Singapura.</w:t>
            </w:r>
          </w:p>
        </w:tc>
      </w:tr>
      <w:tr>
        <w:tblPrEx>
          <w:tblCellMar>
            <w:top w:w="0" w:type="dxa"/>
            <w:left w:w="108" w:type="dxa"/>
            <w:bottom w:w="0" w:type="dxa"/>
            <w:right w:w="108" w:type="dxa"/>
          </w:tblCellMar>
        </w:tblPrEx>
        <w:tc>
          <w:tcPr>
            <w:tcW w:w="3431" w:type="dxa"/>
          </w:tcPr>
          <w:p>
            <w:pPr>
              <w:pStyle w:val="105"/>
              <w:keepNext w:val="0"/>
              <w:tabs>
                <w:tab w:val="clear" w:pos="720"/>
              </w:tabs>
              <w:spacing w:after="120"/>
              <w:rPr>
                <w:rFonts w:ascii="Arial" w:hAnsi="Arial" w:cs="Arial"/>
                <w:b w:val="0"/>
                <w:sz w:val="21"/>
                <w:szCs w:val="21"/>
                <w:lang w:val="id-ID"/>
              </w:rPr>
            </w:pPr>
            <w:bookmarkStart w:id="266" w:name="_Toc74860723"/>
            <w:bookmarkStart w:id="267" w:name="_Toc74557577"/>
            <w:r>
              <w:rPr>
                <w:rFonts w:ascii="Arial" w:hAnsi="Arial" w:cs="Arial"/>
                <w:sz w:val="21"/>
                <w:szCs w:val="21"/>
                <w:lang w:val="id-ID"/>
              </w:rPr>
              <w:t>[Yurisdiksi:]</w:t>
            </w:r>
            <w:r>
              <w:rPr>
                <w:rStyle w:val="25"/>
                <w:rFonts w:ascii="Arial" w:hAnsi="Arial" w:cs="Arial"/>
                <w:b w:val="0"/>
                <w:sz w:val="21"/>
                <w:szCs w:val="21"/>
                <w:lang w:val="id-ID"/>
              </w:rPr>
              <w:footnoteReference w:id="182"/>
            </w:r>
            <w:bookmarkEnd w:id="266"/>
            <w:bookmarkEnd w:id="267"/>
          </w:p>
        </w:tc>
        <w:tc>
          <w:tcPr>
            <w:tcW w:w="5236" w:type="dxa"/>
          </w:tcPr>
          <w:p>
            <w:pPr>
              <w:widowControl w:val="0"/>
              <w:spacing w:after="120"/>
              <w:rPr>
                <w:rFonts w:ascii="Arial" w:hAnsi="Arial" w:cs="Arial"/>
                <w:sz w:val="21"/>
                <w:szCs w:val="21"/>
                <w:lang w:val="id-ID"/>
              </w:rPr>
            </w:pPr>
            <w:r>
              <w:rPr>
                <w:rFonts w:ascii="Arial" w:hAnsi="Arial" w:cs="Arial"/>
                <w:sz w:val="21"/>
                <w:szCs w:val="21"/>
                <w:lang w:val="id-ID"/>
              </w:rPr>
              <w:t>[Pengadilan Singapura].</w:t>
            </w:r>
          </w:p>
        </w:tc>
      </w:tr>
      <w:tr>
        <w:tblPrEx>
          <w:tblCellMar>
            <w:top w:w="0" w:type="dxa"/>
            <w:left w:w="108" w:type="dxa"/>
            <w:bottom w:w="0" w:type="dxa"/>
            <w:right w:w="108" w:type="dxa"/>
          </w:tblCellMar>
        </w:tblPrEx>
        <w:tc>
          <w:tcPr>
            <w:tcW w:w="3431" w:type="dxa"/>
          </w:tcPr>
          <w:p>
            <w:pPr>
              <w:pStyle w:val="105"/>
              <w:keepNext w:val="0"/>
              <w:tabs>
                <w:tab w:val="clear" w:pos="720"/>
              </w:tabs>
              <w:spacing w:after="120"/>
              <w:rPr>
                <w:rFonts w:ascii="Arial" w:hAnsi="Arial" w:cs="Arial"/>
                <w:b w:val="0"/>
                <w:sz w:val="21"/>
                <w:szCs w:val="21"/>
                <w:lang w:val="id-ID"/>
              </w:rPr>
            </w:pPr>
            <w:bookmarkStart w:id="268" w:name="_Toc74557578"/>
            <w:bookmarkStart w:id="269" w:name="_Toc74860724"/>
            <w:r>
              <w:rPr>
                <w:rFonts w:ascii="Arial" w:hAnsi="Arial" w:cs="Arial"/>
                <w:sz w:val="21"/>
                <w:szCs w:val="21"/>
                <w:lang w:val="id-ID"/>
              </w:rPr>
              <w:t>[Arbitrase:]</w:t>
            </w:r>
            <w:r>
              <w:rPr>
                <w:rStyle w:val="25"/>
                <w:rFonts w:ascii="Arial" w:hAnsi="Arial" w:cs="Arial"/>
                <w:b w:val="0"/>
                <w:sz w:val="21"/>
                <w:szCs w:val="21"/>
                <w:lang w:val="id-ID"/>
              </w:rPr>
              <w:footnoteReference w:id="183"/>
            </w:r>
            <w:bookmarkEnd w:id="268"/>
            <w:bookmarkEnd w:id="269"/>
          </w:p>
        </w:tc>
        <w:tc>
          <w:tcPr>
            <w:tcW w:w="5236" w:type="dxa"/>
          </w:tcPr>
          <w:p>
            <w:pPr>
              <w:widowControl w:val="0"/>
              <w:spacing w:after="120"/>
              <w:rPr>
                <w:rFonts w:ascii="Arial" w:hAnsi="Arial" w:cs="Arial"/>
                <w:sz w:val="21"/>
                <w:szCs w:val="21"/>
                <w:lang w:val="id-ID"/>
              </w:rPr>
            </w:pPr>
            <w:r>
              <w:rPr>
                <w:rFonts w:ascii="Arial" w:hAnsi="Arial" w:cs="Arial"/>
                <w:sz w:val="21"/>
                <w:szCs w:val="21"/>
                <w:lang w:val="id-ID"/>
              </w:rPr>
              <w:t xml:space="preserve">[Arbitrase dikelola oleh </w:t>
            </w:r>
            <w:r>
              <w:rPr>
                <w:rFonts w:ascii="Arial" w:hAnsi="Arial" w:cs="Arial"/>
                <w:i/>
                <w:iCs/>
                <w:sz w:val="21"/>
                <w:szCs w:val="21"/>
                <w:lang w:val="id-ID"/>
              </w:rPr>
              <w:t>Singapore International Arbitration Centre</w:t>
            </w:r>
            <w:r>
              <w:rPr>
                <w:rFonts w:ascii="Arial" w:hAnsi="Arial" w:cs="Arial"/>
                <w:sz w:val="21"/>
                <w:szCs w:val="21"/>
                <w:lang w:val="id-ID"/>
              </w:rPr>
              <w:t xml:space="preserve"> berdasarkan </w:t>
            </w:r>
            <w:r>
              <w:rPr>
                <w:rFonts w:ascii="Arial" w:hAnsi="Arial" w:cs="Arial"/>
                <w:sz w:val="21"/>
                <w:szCs w:val="21"/>
                <w:lang w:val="en-US"/>
              </w:rPr>
              <w:t xml:space="preserve">Aturan-aturan Arbitrase </w:t>
            </w:r>
            <w:r>
              <w:rPr>
                <w:rFonts w:ascii="Arial" w:hAnsi="Arial" w:cs="Arial"/>
                <w:i/>
                <w:iCs/>
                <w:sz w:val="21"/>
                <w:szCs w:val="21"/>
                <w:lang w:val="id-ID"/>
              </w:rPr>
              <w:t>Singapore International Arbitration Centre</w:t>
            </w:r>
            <w:r>
              <w:rPr>
                <w:rFonts w:ascii="Arial" w:hAnsi="Arial" w:cs="Arial"/>
                <w:sz w:val="21"/>
                <w:szCs w:val="21"/>
                <w:lang w:val="id-ID"/>
              </w:rPr>
              <w:t xml:space="preserve"> </w:t>
            </w:r>
            <w:r>
              <w:rPr>
                <w:rFonts w:ascii="Arial" w:hAnsi="Arial" w:cs="Arial"/>
                <w:sz w:val="21"/>
                <w:szCs w:val="21"/>
                <w:lang w:val="en-US"/>
              </w:rPr>
              <w:t xml:space="preserve">yang </w:t>
            </w:r>
            <w:r>
              <w:rPr>
                <w:rFonts w:ascii="Arial" w:hAnsi="Arial" w:cs="Arial"/>
                <w:sz w:val="21"/>
                <w:szCs w:val="21"/>
                <w:lang w:val="id-ID"/>
              </w:rPr>
              <w:t>saat ini berlaku.</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3"/>
              <w:widowControl w:val="0"/>
              <w:spacing w:after="120"/>
              <w:ind w:left="0"/>
              <w:rPr>
                <w:rFonts w:ascii="Arial" w:hAnsi="Arial" w:cs="Arial"/>
                <w:sz w:val="21"/>
                <w:szCs w:val="21"/>
                <w:lang w:val="id-ID"/>
              </w:rPr>
            </w:pPr>
            <w:r>
              <w:rPr>
                <w:rFonts w:ascii="Arial" w:hAnsi="Arial" w:cs="Arial"/>
                <w:sz w:val="21"/>
                <w:szCs w:val="21"/>
                <w:lang w:val="id-ID"/>
              </w:rPr>
              <w:t>Pengadilan terdiri dari [satu/tiga]</w:t>
            </w:r>
            <w:r>
              <w:rPr>
                <w:rStyle w:val="25"/>
                <w:rFonts w:ascii="Arial" w:hAnsi="Arial" w:cs="Arial"/>
                <w:sz w:val="21"/>
                <w:szCs w:val="21"/>
                <w:lang w:val="id-ID"/>
              </w:rPr>
              <w:footnoteReference w:id="184"/>
            </w:r>
            <w:r>
              <w:rPr>
                <w:rFonts w:ascii="Arial" w:hAnsi="Arial" w:cs="Arial"/>
                <w:sz w:val="21"/>
                <w:szCs w:val="21"/>
                <w:lang w:val="id-ID"/>
              </w:rPr>
              <w:t xml:space="preserve"> arbiter(-arbiter).</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pStyle w:val="3"/>
              <w:widowControl w:val="0"/>
              <w:spacing w:after="120"/>
              <w:ind w:left="0"/>
              <w:rPr>
                <w:rFonts w:ascii="Arial" w:hAnsi="Arial" w:cs="Arial"/>
                <w:sz w:val="21"/>
                <w:szCs w:val="21"/>
                <w:lang w:val="id-ID"/>
              </w:rPr>
            </w:pPr>
            <w:r>
              <w:rPr>
                <w:rFonts w:ascii="Arial" w:hAnsi="Arial" w:cs="Arial"/>
                <w:sz w:val="21"/>
                <w:szCs w:val="21"/>
                <w:lang w:val="en-US"/>
              </w:rPr>
              <w:t xml:space="preserve">Tempat kedudukan </w:t>
            </w:r>
            <w:r>
              <w:rPr>
                <w:rFonts w:ascii="Arial" w:hAnsi="Arial" w:cs="Arial"/>
                <w:sz w:val="21"/>
                <w:szCs w:val="21"/>
                <w:lang w:val="id-ID"/>
              </w:rPr>
              <w:t>arbitrase adalah Singapura.</w:t>
            </w:r>
          </w:p>
        </w:tc>
      </w:tr>
      <w:tr>
        <w:tblPrEx>
          <w:tblCellMar>
            <w:top w:w="0" w:type="dxa"/>
            <w:left w:w="108" w:type="dxa"/>
            <w:bottom w:w="0" w:type="dxa"/>
            <w:right w:w="108" w:type="dxa"/>
          </w:tblCellMar>
        </w:tblPrEx>
        <w:tc>
          <w:tcPr>
            <w:tcW w:w="3431" w:type="dxa"/>
          </w:tcPr>
          <w:p>
            <w:pPr>
              <w:widowControl w:val="0"/>
              <w:spacing w:after="120"/>
              <w:rPr>
                <w:rFonts w:ascii="Arial" w:hAnsi="Arial" w:cs="Arial"/>
                <w:sz w:val="21"/>
                <w:szCs w:val="21"/>
                <w:lang w:val="id-ID"/>
              </w:rPr>
            </w:pPr>
          </w:p>
        </w:tc>
        <w:tc>
          <w:tcPr>
            <w:tcW w:w="5236" w:type="dxa"/>
          </w:tcPr>
          <w:p>
            <w:pPr>
              <w:widowControl w:val="0"/>
              <w:spacing w:after="120"/>
              <w:rPr>
                <w:rFonts w:ascii="Arial" w:hAnsi="Arial" w:cs="Arial"/>
                <w:sz w:val="21"/>
                <w:szCs w:val="21"/>
                <w:lang w:val="id-ID"/>
              </w:rPr>
            </w:pPr>
            <w:r>
              <w:rPr>
                <w:rFonts w:ascii="Arial" w:hAnsi="Arial" w:cs="Arial"/>
                <w:sz w:val="21"/>
                <w:szCs w:val="21"/>
                <w:lang w:val="id-ID"/>
              </w:rPr>
              <w:t xml:space="preserve">Bahasa </w:t>
            </w:r>
            <w:r>
              <w:rPr>
                <w:rFonts w:ascii="Arial" w:hAnsi="Arial" w:cs="Arial"/>
                <w:sz w:val="21"/>
                <w:szCs w:val="21"/>
                <w:lang w:val="en-US"/>
              </w:rPr>
              <w:t xml:space="preserve">yang digunakan dalam </w:t>
            </w:r>
            <w:r>
              <w:rPr>
                <w:rFonts w:ascii="Arial" w:hAnsi="Arial" w:cs="Arial"/>
                <w:sz w:val="21"/>
                <w:szCs w:val="21"/>
                <w:lang w:val="id-ID"/>
              </w:rPr>
              <w:t>arbitrase adalah [Bahasa Inggris]]</w:t>
            </w:r>
            <w:r>
              <w:rPr>
                <w:rStyle w:val="25"/>
                <w:rFonts w:ascii="Arial" w:hAnsi="Arial" w:cs="Arial"/>
                <w:sz w:val="21"/>
                <w:szCs w:val="21"/>
                <w:lang w:val="id-ID"/>
              </w:rPr>
              <w:footnoteReference w:id="185"/>
            </w:r>
            <w:r>
              <w:rPr>
                <w:rFonts w:ascii="Arial" w:hAnsi="Arial" w:cs="Arial"/>
                <w:sz w:val="21"/>
                <w:szCs w:val="21"/>
                <w:lang w:val="id-ID"/>
              </w:rPr>
              <w:t>.</w:t>
            </w:r>
          </w:p>
        </w:tc>
      </w:tr>
    </w:tbl>
    <w:p>
      <w:pPr>
        <w:pStyle w:val="82"/>
        <w:pageBreakBefore w:val="0"/>
        <w:spacing w:after="120"/>
        <w:rPr>
          <w:rFonts w:ascii="Arial" w:hAnsi="Arial" w:cs="Arial"/>
          <w:sz w:val="21"/>
          <w:szCs w:val="21"/>
          <w:lang w:val="id-ID"/>
        </w:rPr>
      </w:pPr>
      <w:bookmarkStart w:id="270" w:name="_Toc494621254"/>
      <w:bookmarkStart w:id="271" w:name="_Ref494796633"/>
      <w:bookmarkStart w:id="272" w:name="_Toc531174320"/>
      <w:bookmarkStart w:id="273" w:name="_Ref496609270"/>
      <w:r>
        <w:rPr>
          <w:rFonts w:ascii="Arial" w:hAnsi="Arial" w:cs="Arial"/>
          <w:sz w:val="21"/>
          <w:szCs w:val="21"/>
          <w:lang w:val="id-ID"/>
        </w:rPr>
        <w:br w:type="page"/>
      </w:r>
    </w:p>
    <w:p>
      <w:pPr>
        <w:pStyle w:val="82"/>
        <w:pageBreakBefore w:val="0"/>
        <w:spacing w:after="120"/>
        <w:rPr>
          <w:rFonts w:ascii="Arial" w:hAnsi="Arial" w:cs="Arial"/>
          <w:sz w:val="21"/>
          <w:szCs w:val="21"/>
          <w:lang w:val="id-ID"/>
        </w:rPr>
      </w:pPr>
      <w:r>
        <w:rPr>
          <w:rFonts w:ascii="Arial" w:hAnsi="Arial" w:cs="Arial"/>
          <w:sz w:val="21"/>
          <w:szCs w:val="21"/>
          <w:lang w:val="id-ID"/>
        </w:rPr>
        <w:br w:type="textWrapping"/>
      </w:r>
      <w:r>
        <w:rPr>
          <w:rFonts w:ascii="Arial" w:hAnsi="Arial" w:cs="Arial"/>
          <w:sz w:val="21"/>
          <w:szCs w:val="21"/>
          <w:lang w:val="id-ID"/>
        </w:rPr>
        <w:br w:type="textWrapping"/>
      </w:r>
      <w:bookmarkEnd w:id="270"/>
      <w:bookmarkEnd w:id="271"/>
      <w:bookmarkEnd w:id="272"/>
      <w:bookmarkStart w:id="274" w:name="_Toc74860725"/>
      <w:bookmarkStart w:id="275" w:name="_Toc74557579"/>
      <w:r>
        <w:rPr>
          <w:rFonts w:ascii="Arial" w:hAnsi="Arial" w:cs="Arial"/>
          <w:sz w:val="21"/>
          <w:szCs w:val="21"/>
          <w:lang w:val="id-ID"/>
        </w:rPr>
        <w:t xml:space="preserve">DEFINISI-DEFINISI </w:t>
      </w:r>
      <w:r>
        <w:rPr>
          <w:rFonts w:ascii="Arial" w:hAnsi="Arial" w:cs="Arial"/>
          <w:sz w:val="21"/>
          <w:szCs w:val="21"/>
          <w:lang w:val="en-US"/>
        </w:rPr>
        <w:t>PENTING</w:t>
      </w:r>
      <w:bookmarkEnd w:id="274"/>
      <w:bookmarkEnd w:id="275"/>
    </w:p>
    <w:p>
      <w:pPr>
        <w:pStyle w:val="78"/>
        <w:spacing w:after="120"/>
        <w:rPr>
          <w:rFonts w:ascii="Arial" w:hAnsi="Arial" w:cs="Arial"/>
          <w:b/>
          <w:sz w:val="21"/>
          <w:szCs w:val="21"/>
          <w:lang w:val="id-ID"/>
        </w:rPr>
      </w:pPr>
      <w:r>
        <w:rPr>
          <w:rFonts w:ascii="Arial" w:hAnsi="Arial" w:cs="Arial"/>
          <w:sz w:val="21"/>
          <w:szCs w:val="21"/>
          <w:lang w:val="id-ID"/>
        </w:rPr>
        <w:t>Istilah</w:t>
      </w:r>
      <w:r>
        <w:rPr>
          <w:rFonts w:ascii="Arial" w:hAnsi="Arial" w:cs="Arial"/>
          <w:sz w:val="21"/>
          <w:szCs w:val="21"/>
          <w:lang w:val="en-US"/>
        </w:rPr>
        <w:t>-i</w:t>
      </w:r>
      <w:r>
        <w:rPr>
          <w:rFonts w:ascii="Arial" w:hAnsi="Arial" w:cs="Arial"/>
          <w:sz w:val="21"/>
          <w:szCs w:val="21"/>
          <w:lang w:val="id-ID"/>
        </w:rPr>
        <w:t xml:space="preserve">stilah dalam huruf </w:t>
      </w:r>
      <w:r>
        <w:rPr>
          <w:rFonts w:ascii="Arial" w:hAnsi="Arial" w:cs="Arial"/>
          <w:sz w:val="21"/>
          <w:szCs w:val="21"/>
          <w:lang w:val="en-US"/>
        </w:rPr>
        <w:t xml:space="preserve">besar </w:t>
      </w:r>
      <w:r>
        <w:rPr>
          <w:rFonts w:ascii="Arial" w:hAnsi="Arial" w:cs="Arial"/>
          <w:sz w:val="21"/>
          <w:szCs w:val="21"/>
          <w:lang w:val="id-ID"/>
        </w:rPr>
        <w:t xml:space="preserve">yang digunakan (tetapi tidak didefinisikan </w:t>
      </w:r>
      <w:r>
        <w:rPr>
          <w:rFonts w:ascii="Arial" w:hAnsi="Arial" w:cs="Arial"/>
          <w:sz w:val="21"/>
          <w:szCs w:val="21"/>
          <w:lang w:val="en-US"/>
        </w:rPr>
        <w:t xml:space="preserve">secara </w:t>
      </w:r>
      <w:r>
        <w:rPr>
          <w:rFonts w:ascii="Arial" w:hAnsi="Arial" w:cs="Arial"/>
          <w:sz w:val="21"/>
          <w:szCs w:val="21"/>
          <w:lang w:val="id-ID"/>
        </w:rPr>
        <w:t xml:space="preserve">lain) </w:t>
      </w:r>
      <w:r>
        <w:rPr>
          <w:rFonts w:ascii="Arial" w:hAnsi="Arial" w:cs="Arial"/>
          <w:sz w:val="21"/>
          <w:szCs w:val="21"/>
          <w:lang w:val="en-US"/>
        </w:rPr>
        <w:t xml:space="preserve">dalam dokumen </w:t>
      </w:r>
      <w:r>
        <w:rPr>
          <w:rFonts w:ascii="Arial" w:hAnsi="Arial" w:cs="Arial"/>
          <w:sz w:val="21"/>
          <w:szCs w:val="21"/>
          <w:lang w:val="id-ID"/>
        </w:rPr>
        <w:t xml:space="preserve">ini memiliki arti yang diberikan kepadanya dalam </w:t>
      </w:r>
      <w:r>
        <w:rPr>
          <w:rFonts w:ascii="Arial" w:hAnsi="Arial" w:cs="Arial"/>
          <w:sz w:val="21"/>
          <w:szCs w:val="21"/>
          <w:lang w:val="en-US"/>
        </w:rPr>
        <w:t xml:space="preserve">format </w:t>
      </w:r>
      <w:r>
        <w:rPr>
          <w:rFonts w:ascii="Arial" w:hAnsi="Arial" w:cs="Arial"/>
          <w:sz w:val="21"/>
          <w:szCs w:val="21"/>
          <w:lang w:val="id-ID"/>
        </w:rPr>
        <w:t xml:space="preserve">Perjanjian </w:t>
      </w:r>
      <w:r>
        <w:rPr>
          <w:rFonts w:ascii="Arial" w:hAnsi="Arial" w:cs="Arial"/>
          <w:sz w:val="21"/>
          <w:szCs w:val="21"/>
          <w:lang w:val="en-US"/>
        </w:rPr>
        <w:t xml:space="preserve">Ketentuan-ketentuan </w:t>
      </w:r>
      <w:r>
        <w:rPr>
          <w:rFonts w:ascii="Arial" w:hAnsi="Arial" w:cs="Arial"/>
          <w:sz w:val="21"/>
          <w:szCs w:val="21"/>
          <w:lang w:val="id-ID"/>
        </w:rPr>
        <w:t>Umum Infrastruktur Asia saat ini.</w:t>
      </w:r>
    </w:p>
    <w:p>
      <w:pPr>
        <w:pStyle w:val="78"/>
        <w:spacing w:after="120"/>
        <w:rPr>
          <w:rFonts w:ascii="Arial" w:hAnsi="Arial" w:cs="Arial"/>
          <w:b/>
          <w:sz w:val="21"/>
          <w:szCs w:val="21"/>
          <w:lang w:val="id-ID"/>
        </w:rPr>
      </w:pPr>
      <w:r>
        <w:rPr>
          <w:rFonts w:ascii="Arial" w:hAnsi="Arial" w:cs="Arial"/>
          <w:sz w:val="21"/>
          <w:szCs w:val="21"/>
          <w:lang w:val="id-ID"/>
        </w:rPr>
        <w:t xml:space="preserve">Dalam </w:t>
      </w:r>
      <w:r>
        <w:rPr>
          <w:rFonts w:ascii="Arial" w:hAnsi="Arial" w:cs="Arial"/>
          <w:sz w:val="21"/>
          <w:szCs w:val="21"/>
          <w:lang w:val="en-US"/>
        </w:rPr>
        <w:t xml:space="preserve">daftar ketentuan </w:t>
      </w:r>
      <w:r>
        <w:rPr>
          <w:rFonts w:ascii="Arial" w:hAnsi="Arial" w:cs="Arial"/>
          <w:sz w:val="21"/>
          <w:szCs w:val="21"/>
          <w:lang w:val="id-ID"/>
        </w:rPr>
        <w:t>ini:</w:t>
      </w:r>
      <w:bookmarkStart w:id="276" w:name="_9kR3WTr67349HFGK"/>
      <w:r>
        <w:rPr>
          <w:rStyle w:val="25"/>
          <w:rFonts w:ascii="Arial" w:hAnsi="Arial" w:cs="Arial"/>
          <w:sz w:val="21"/>
          <w:szCs w:val="21"/>
          <w:lang w:val="id-ID"/>
        </w:rPr>
        <w:footnoteReference w:id="186"/>
      </w:r>
      <w:bookmarkEnd w:id="276"/>
    </w:p>
    <w:p>
      <w:pPr>
        <w:pStyle w:val="72"/>
        <w:keepNext/>
        <w:spacing w:after="120"/>
        <w:rPr>
          <w:rFonts w:ascii="Arial" w:hAnsi="Arial" w:cs="Arial"/>
          <w:sz w:val="21"/>
          <w:szCs w:val="21"/>
          <w:lang w:val="id-ID"/>
        </w:rPr>
      </w:pPr>
      <w:r>
        <w:rPr>
          <w:rFonts w:ascii="Arial" w:hAnsi="Arial" w:cs="Arial"/>
          <w:sz w:val="21"/>
          <w:szCs w:val="21"/>
          <w:lang w:val="id-ID"/>
        </w:rPr>
        <w:t>"</w:t>
      </w:r>
      <w:r>
        <w:rPr>
          <w:rFonts w:ascii="Arial" w:hAnsi="Arial" w:cs="Arial"/>
          <w:b/>
          <w:sz w:val="21"/>
          <w:szCs w:val="21"/>
          <w:lang w:val="id-ID"/>
        </w:rPr>
        <w:t xml:space="preserve">Arus Kas </w:t>
      </w:r>
      <w:r>
        <w:rPr>
          <w:rFonts w:ascii="Arial" w:hAnsi="Arial" w:cs="Arial"/>
          <w:b/>
          <w:sz w:val="21"/>
          <w:szCs w:val="21"/>
          <w:lang w:val="en-US"/>
        </w:rPr>
        <w:t>Y</w:t>
      </w:r>
      <w:r>
        <w:rPr>
          <w:rFonts w:ascii="Arial" w:hAnsi="Arial" w:cs="Arial"/>
          <w:b/>
          <w:sz w:val="21"/>
          <w:szCs w:val="21"/>
          <w:lang w:val="id-ID"/>
        </w:rPr>
        <w:t>ang Tersedia</w:t>
      </w:r>
      <w:r>
        <w:rPr>
          <w:rFonts w:ascii="Arial" w:hAnsi="Arial" w:cs="Arial"/>
          <w:sz w:val="21"/>
          <w:szCs w:val="21"/>
          <w:lang w:val="id-ID"/>
        </w:rPr>
        <w:t xml:space="preserve">" </w:t>
      </w:r>
      <w:r>
        <w:rPr>
          <w:rFonts w:ascii="Arial" w:hAnsi="Arial" w:cs="Arial"/>
          <w:bCs/>
          <w:sz w:val="21"/>
          <w:szCs w:val="21"/>
          <w:lang w:eastAsia="en-GB"/>
        </w:rPr>
        <w:t>berarti, dalam kaitannya dengan periode mana pun, jumlah (tanpa perhitungan dobel) dari</w:t>
      </w:r>
      <w:r>
        <w:rPr>
          <w:rFonts w:ascii="Arial" w:hAnsi="Arial" w:cs="Arial"/>
          <w:sz w:val="21"/>
          <w:szCs w:val="21"/>
          <w:lang w:val="id-ID"/>
        </w:rPr>
        <w:t>:</w:t>
      </w:r>
    </w:p>
    <w:p>
      <w:pPr>
        <w:pStyle w:val="71"/>
        <w:spacing w:after="120"/>
        <w:rPr>
          <w:rFonts w:ascii="Arial" w:hAnsi="Arial" w:cs="Arial"/>
          <w:sz w:val="21"/>
          <w:szCs w:val="21"/>
          <w:lang w:val="id-ID"/>
        </w:rPr>
      </w:pPr>
      <w:r>
        <w:rPr>
          <w:rFonts w:ascii="Arial" w:hAnsi="Arial" w:cs="Arial"/>
          <w:sz w:val="21"/>
          <w:szCs w:val="21"/>
          <w:lang w:val="id-ID"/>
        </w:rPr>
        <w:t>Pendapatan untuk periode tersebut,</w:t>
      </w:r>
      <w:r>
        <w:rPr>
          <w:rStyle w:val="25"/>
          <w:rFonts w:ascii="Arial" w:hAnsi="Arial" w:cs="Arial"/>
          <w:sz w:val="21"/>
          <w:szCs w:val="21"/>
          <w:lang w:val="id-ID"/>
        </w:rPr>
        <w:footnoteReference w:id="187"/>
      </w:r>
      <w:r>
        <w:rPr>
          <w:rFonts w:ascii="Arial" w:hAnsi="Arial" w:cs="Arial"/>
          <w:sz w:val="21"/>
          <w:szCs w:val="21"/>
          <w:lang w:val="id-ID"/>
        </w:rPr>
        <w:t xml:space="preserve"> </w:t>
      </w:r>
    </w:p>
    <w:p>
      <w:pPr>
        <w:pStyle w:val="63"/>
        <w:spacing w:after="120"/>
        <w:rPr>
          <w:rFonts w:ascii="Arial" w:hAnsi="Arial" w:cs="Arial"/>
          <w:sz w:val="21"/>
          <w:szCs w:val="21"/>
          <w:lang w:val="id-ID"/>
        </w:rPr>
      </w:pPr>
      <w:r>
        <w:rPr>
          <w:rFonts w:ascii="Arial" w:hAnsi="Arial" w:cs="Arial"/>
          <w:sz w:val="21"/>
          <w:szCs w:val="21"/>
          <w:lang w:val="id-ID"/>
        </w:rPr>
        <w:t>dikurangi</w:t>
      </w:r>
    </w:p>
    <w:p>
      <w:pPr>
        <w:pStyle w:val="71"/>
        <w:keepNext/>
        <w:spacing w:after="120"/>
        <w:rPr>
          <w:rFonts w:ascii="Arial" w:hAnsi="Arial" w:cs="Arial"/>
          <w:sz w:val="21"/>
          <w:szCs w:val="21"/>
          <w:lang w:val="id-ID"/>
        </w:rPr>
      </w:pPr>
      <w:bookmarkStart w:id="277" w:name="_Ref57578023"/>
      <w:r>
        <w:rPr>
          <w:rFonts w:ascii="Arial" w:hAnsi="Arial" w:cs="Arial"/>
          <w:sz w:val="21"/>
          <w:szCs w:val="21"/>
          <w:lang w:val="id-ID"/>
        </w:rPr>
        <w:t xml:space="preserve">jumlah </w:t>
      </w:r>
      <w:r>
        <w:rPr>
          <w:rFonts w:ascii="Arial" w:hAnsi="Arial" w:cs="Arial"/>
          <w:sz w:val="21"/>
          <w:szCs w:val="21"/>
          <w:lang w:val="en-US"/>
        </w:rPr>
        <w:t xml:space="preserve">keseluruhan </w:t>
      </w:r>
      <w:r>
        <w:rPr>
          <w:rFonts w:ascii="Arial" w:hAnsi="Arial" w:cs="Arial"/>
          <w:sz w:val="21"/>
          <w:szCs w:val="21"/>
          <w:lang w:val="id-ID"/>
        </w:rPr>
        <w:t>dari:</w:t>
      </w:r>
      <w:bookmarkEnd w:id="277"/>
    </w:p>
    <w:p>
      <w:pPr>
        <w:pStyle w:val="70"/>
        <w:spacing w:after="120"/>
        <w:rPr>
          <w:rFonts w:ascii="Arial" w:hAnsi="Arial" w:cs="Arial"/>
          <w:sz w:val="21"/>
          <w:szCs w:val="21"/>
          <w:lang w:val="id-ID"/>
        </w:rPr>
      </w:pPr>
      <w:bookmarkStart w:id="278" w:name="_Ref57578025"/>
      <w:r>
        <w:rPr>
          <w:rFonts w:ascii="Arial" w:hAnsi="Arial" w:cs="Arial"/>
          <w:sz w:val="21"/>
          <w:szCs w:val="21"/>
          <w:lang w:eastAsia="en-GB"/>
        </w:rPr>
        <w:t xml:space="preserve">Biaya-biaya Operasional dan Biaya-biaya Proyek, dalam setiap hal sepanjang tidak didanai melalui </w:t>
      </w:r>
      <w:r>
        <w:rPr>
          <w:rFonts w:ascii="Arial" w:hAnsi="Arial" w:cs="Arial"/>
          <w:sz w:val="21"/>
          <w:szCs w:val="21"/>
          <w:lang w:val="en-US" w:eastAsia="en-GB"/>
        </w:rPr>
        <w:t>p</w:t>
      </w:r>
      <w:r>
        <w:rPr>
          <w:rFonts w:ascii="Arial" w:hAnsi="Arial" w:cs="Arial"/>
          <w:sz w:val="21"/>
          <w:szCs w:val="21"/>
          <w:lang w:eastAsia="en-GB"/>
        </w:rPr>
        <w:t xml:space="preserve">injaman-pinjaman atau </w:t>
      </w:r>
      <w:r>
        <w:rPr>
          <w:rFonts w:ascii="Arial" w:hAnsi="Arial" w:cs="Arial"/>
          <w:sz w:val="21"/>
          <w:szCs w:val="21"/>
          <w:lang w:val="en-US" w:eastAsia="en-GB"/>
        </w:rPr>
        <w:t>e</w:t>
      </w:r>
      <w:r>
        <w:rPr>
          <w:rFonts w:ascii="Arial" w:hAnsi="Arial" w:cs="Arial"/>
          <w:sz w:val="21"/>
          <w:szCs w:val="21"/>
          <w:lang w:eastAsia="en-GB"/>
        </w:rPr>
        <w:t>kuitas, yang telah dibayarkan atau harus dibayarkan selama periode tersebut</w:t>
      </w:r>
      <w:r>
        <w:rPr>
          <w:rFonts w:ascii="Arial" w:hAnsi="Arial" w:cs="Arial"/>
          <w:sz w:val="21"/>
          <w:szCs w:val="21"/>
          <w:lang w:val="id-ID"/>
        </w:rPr>
        <w:t xml:space="preserve">; </w:t>
      </w:r>
      <w:bookmarkEnd w:id="278"/>
      <w:r>
        <w:rPr>
          <w:rFonts w:ascii="Arial" w:hAnsi="Arial" w:cs="Arial"/>
          <w:sz w:val="21"/>
          <w:szCs w:val="21"/>
          <w:lang w:val="id-ID"/>
        </w:rPr>
        <w:t>dan</w:t>
      </w:r>
    </w:p>
    <w:p>
      <w:pPr>
        <w:pStyle w:val="70"/>
        <w:spacing w:after="120"/>
        <w:rPr>
          <w:rFonts w:ascii="Arial" w:hAnsi="Arial" w:cs="Arial"/>
          <w:sz w:val="21"/>
          <w:szCs w:val="21"/>
          <w:lang w:val="id-ID"/>
        </w:rPr>
      </w:pPr>
      <w:r>
        <w:rPr>
          <w:rFonts w:ascii="Arial" w:hAnsi="Arial" w:cs="Arial"/>
          <w:sz w:val="21"/>
          <w:szCs w:val="21"/>
          <w:lang w:val="en-US" w:eastAsia="en-GB"/>
        </w:rPr>
        <w:t>b</w:t>
      </w:r>
      <w:r>
        <w:rPr>
          <w:rFonts w:ascii="Arial" w:hAnsi="Arial" w:cs="Arial"/>
          <w:sz w:val="21"/>
          <w:szCs w:val="21"/>
          <w:lang w:eastAsia="en-GB"/>
        </w:rPr>
        <w:t xml:space="preserve">iaya-biaya, </w:t>
      </w:r>
      <w:r>
        <w:rPr>
          <w:rFonts w:ascii="Arial" w:hAnsi="Arial" w:cs="Arial"/>
          <w:sz w:val="21"/>
          <w:szCs w:val="21"/>
          <w:lang w:val="en-US" w:eastAsia="en-GB"/>
        </w:rPr>
        <w:t>b</w:t>
      </w:r>
      <w:r>
        <w:rPr>
          <w:rFonts w:ascii="Arial" w:hAnsi="Arial" w:cs="Arial"/>
          <w:sz w:val="21"/>
          <w:szCs w:val="21"/>
          <w:lang w:eastAsia="en-GB"/>
        </w:rPr>
        <w:t xml:space="preserve">eban-beban [dan </w:t>
      </w:r>
      <w:r>
        <w:rPr>
          <w:rFonts w:ascii="Arial" w:hAnsi="Arial" w:cs="Arial"/>
          <w:sz w:val="21"/>
          <w:szCs w:val="21"/>
          <w:lang w:val="en-US" w:eastAsia="en-GB"/>
        </w:rPr>
        <w:t>b</w:t>
      </w:r>
      <w:r>
        <w:rPr>
          <w:rFonts w:ascii="Arial" w:hAnsi="Arial" w:cs="Arial"/>
          <w:sz w:val="21"/>
          <w:szCs w:val="21"/>
          <w:lang w:eastAsia="en-GB"/>
        </w:rPr>
        <w:t xml:space="preserve">iaya-biaya </w:t>
      </w:r>
      <w:r>
        <w:rPr>
          <w:rFonts w:ascii="Arial" w:hAnsi="Arial" w:cs="Arial"/>
          <w:sz w:val="21"/>
          <w:szCs w:val="21"/>
          <w:lang w:val="en-US" w:eastAsia="en-GB"/>
        </w:rPr>
        <w:t>p</w:t>
      </w:r>
      <w:r>
        <w:rPr>
          <w:rFonts w:ascii="Arial" w:hAnsi="Arial" w:cs="Arial"/>
          <w:sz w:val="21"/>
          <w:szCs w:val="21"/>
          <w:lang w:eastAsia="en-GB"/>
        </w:rPr>
        <w:t xml:space="preserve">enandatanganan </w:t>
      </w:r>
      <w:r>
        <w:rPr>
          <w:rFonts w:ascii="Arial" w:hAnsi="Arial" w:cs="Arial"/>
          <w:sz w:val="21"/>
          <w:szCs w:val="21"/>
          <w:lang w:val="en-US" w:eastAsia="en-GB"/>
        </w:rPr>
        <w:t>p</w:t>
      </w:r>
      <w:r>
        <w:rPr>
          <w:rFonts w:ascii="Arial" w:hAnsi="Arial" w:cs="Arial"/>
          <w:sz w:val="21"/>
          <w:szCs w:val="21"/>
          <w:lang w:eastAsia="en-GB"/>
        </w:rPr>
        <w:t xml:space="preserve">erjanjian </w:t>
      </w:r>
      <w:r>
        <w:rPr>
          <w:rFonts w:ascii="Arial" w:hAnsi="Arial" w:cs="Arial"/>
          <w:sz w:val="21"/>
          <w:szCs w:val="21"/>
          <w:lang w:val="en-US" w:eastAsia="en-GB"/>
        </w:rPr>
        <w:t>l</w:t>
      </w:r>
      <w:r>
        <w:rPr>
          <w:rFonts w:ascii="Arial" w:hAnsi="Arial" w:cs="Arial"/>
          <w:sz w:val="21"/>
          <w:szCs w:val="21"/>
          <w:lang w:eastAsia="en-GB"/>
        </w:rPr>
        <w:t xml:space="preserve">indung </w:t>
      </w:r>
      <w:r>
        <w:rPr>
          <w:rFonts w:ascii="Arial" w:hAnsi="Arial" w:cs="Arial"/>
          <w:sz w:val="21"/>
          <w:szCs w:val="21"/>
          <w:lang w:val="en-US" w:eastAsia="en-GB"/>
        </w:rPr>
        <w:t>n</w:t>
      </w:r>
      <w:r>
        <w:rPr>
          <w:rFonts w:ascii="Arial" w:hAnsi="Arial" w:cs="Arial"/>
          <w:sz w:val="21"/>
          <w:szCs w:val="21"/>
          <w:lang w:eastAsia="en-GB"/>
        </w:rPr>
        <w:t>ilai] yang telah dibayarkan atau harus dibayarkan selama periode tersebut</w:t>
      </w:r>
      <w:r>
        <w:rPr>
          <w:rFonts w:ascii="Arial" w:hAnsi="Arial" w:cs="Arial"/>
          <w:sz w:val="21"/>
          <w:szCs w:val="21"/>
          <w:lang w:val="id-ID"/>
        </w:rPr>
        <w:t>; dan</w:t>
      </w:r>
    </w:p>
    <w:p>
      <w:pPr>
        <w:pStyle w:val="70"/>
        <w:spacing w:after="120"/>
        <w:rPr>
          <w:rFonts w:ascii="Arial" w:hAnsi="Arial" w:cs="Arial"/>
          <w:sz w:val="21"/>
          <w:szCs w:val="21"/>
          <w:lang w:val="id-ID"/>
        </w:rPr>
      </w:pPr>
      <w:bookmarkStart w:id="279" w:name="_Ref57578042"/>
      <w:r>
        <w:rPr>
          <w:rFonts w:ascii="Arial" w:hAnsi="Arial" w:cs="Arial"/>
          <w:sz w:val="21"/>
          <w:szCs w:val="21"/>
          <w:lang w:eastAsia="en-GB"/>
        </w:rPr>
        <w:t>setiap jumlah yang telah ditransfer atau diproyeksikan untuk ditransfer ke MRA dari Rekening Operasional dalam periode tersebut, sepanjang transfer tersebut diperbolehkan sesuai dengan Dokumen-dokumen Pembiayaan</w:t>
      </w:r>
      <w:r>
        <w:rPr>
          <w:rFonts w:ascii="Arial" w:hAnsi="Arial" w:cs="Arial"/>
          <w:sz w:val="21"/>
          <w:szCs w:val="21"/>
          <w:lang w:val="id-ID"/>
        </w:rPr>
        <w:t>,</w:t>
      </w:r>
      <w:bookmarkEnd w:id="279"/>
      <w:bookmarkStart w:id="280" w:name="_Hlk55931105"/>
      <w:r>
        <w:rPr>
          <w:rFonts w:ascii="Arial" w:hAnsi="Arial" w:cs="Arial"/>
          <w:sz w:val="21"/>
          <w:szCs w:val="21"/>
          <w:lang w:val="id-ID"/>
        </w:rPr>
        <w:t xml:space="preserve"> </w:t>
      </w:r>
      <w:bookmarkEnd w:id="280"/>
    </w:p>
    <w:p>
      <w:pPr>
        <w:pStyle w:val="71"/>
        <w:numPr>
          <w:ilvl w:val="0"/>
          <w:numId w:val="0"/>
        </w:numPr>
        <w:spacing w:after="120"/>
        <w:ind w:left="1440"/>
        <w:rPr>
          <w:rFonts w:ascii="Arial" w:hAnsi="Arial" w:cs="Arial"/>
          <w:sz w:val="21"/>
          <w:szCs w:val="21"/>
          <w:lang w:val="id-ID"/>
        </w:rPr>
      </w:pPr>
      <w:r>
        <w:rPr>
          <w:rFonts w:ascii="Arial" w:hAnsi="Arial" w:cs="Arial"/>
          <w:bCs/>
          <w:sz w:val="21"/>
          <w:szCs w:val="21"/>
          <w:lang w:eastAsia="en-GB"/>
        </w:rPr>
        <w:t>dalam setiap hal, yang telah diterima, dibayarkan atau harus dibayarkan oleh Debitur  (sesuai konteksnya) selama periode tersebut (atau, dalam hal Proyeksi DSCR, yang diproyeksikan dengan itikad baik untuk diterima, dibayar atau dapat dibayarkan oleh Debitur (sesuai konteksnya) selama periode itu) dan dengan ketentuan bahwa, untuk tujuan menentukan Arus Kas Yang Tersedia untuk periode mana pun, sehubungan dengan jumlah yang telah diterima atau diproyeksikan untuk diterima oleh Debitur dalam mata uang selain mata uang Pinjaman, hanya jumlah dalam mata uang Pinjaman yang diterima atau diharapkan secara wajar oleh Debitur akan untuk diterima setelah konversi ke dalam mata uang Pinjaman akan diperhitungkan, dan selain itu, jumlah tersebut tidak akan diperhitungkan</w:t>
      </w:r>
      <w:r>
        <w:rPr>
          <w:rFonts w:ascii="Arial" w:hAnsi="Arial" w:cs="Arial"/>
          <w:sz w:val="21"/>
          <w:szCs w:val="21"/>
          <w:lang w:val="id-ID"/>
        </w:rPr>
        <w:t>.</w:t>
      </w:r>
    </w:p>
    <w:p>
      <w:pPr>
        <w:pStyle w:val="72"/>
        <w:spacing w:after="120"/>
        <w:rPr>
          <w:rFonts w:ascii="Arial" w:hAnsi="Arial" w:cs="Arial"/>
          <w:sz w:val="21"/>
          <w:szCs w:val="21"/>
          <w:lang w:val="id-ID" w:eastAsia="en-US"/>
        </w:rPr>
      </w:pPr>
      <w:r>
        <w:rPr>
          <w:rFonts w:ascii="Arial" w:hAnsi="Arial" w:cs="Arial"/>
          <w:sz w:val="21"/>
          <w:szCs w:val="21"/>
          <w:lang w:val="id-ID" w:eastAsia="en-US"/>
        </w:rPr>
        <w:t>"</w:t>
      </w:r>
      <w:r>
        <w:rPr>
          <w:rFonts w:ascii="Arial" w:hAnsi="Arial" w:cs="Arial"/>
          <w:b/>
          <w:bCs/>
          <w:sz w:val="21"/>
          <w:szCs w:val="21"/>
          <w:lang w:val="id-ID" w:eastAsia="en-US"/>
        </w:rPr>
        <w:t>Hari Kerja</w:t>
      </w:r>
      <w:r>
        <w:rPr>
          <w:rFonts w:ascii="Arial" w:hAnsi="Arial" w:cs="Arial"/>
          <w:sz w:val="21"/>
          <w:szCs w:val="21"/>
          <w:lang w:val="id-ID" w:eastAsia="en-US"/>
        </w:rPr>
        <w:t xml:space="preserve">" berarti hari (selain hari Sabtu atau Minggu) </w:t>
      </w:r>
      <w:r>
        <w:rPr>
          <w:rFonts w:ascii="Arial" w:hAnsi="Arial" w:cs="Arial"/>
          <w:bCs/>
          <w:sz w:val="21"/>
          <w:szCs w:val="21"/>
          <w:lang w:eastAsia="en-GB"/>
        </w:rPr>
        <w:t>di mana bank-bank buka untuk kegiatan usaha umum di Singapura</w:t>
      </w:r>
      <w:r>
        <w:rPr>
          <w:rFonts w:ascii="Arial" w:hAnsi="Arial" w:cs="Arial"/>
          <w:sz w:val="21"/>
          <w:szCs w:val="21"/>
          <w:lang w:val="id-ID" w:eastAsia="en-US"/>
        </w:rPr>
        <w:t xml:space="preserve"> [dan [</w:t>
      </w:r>
      <w:r>
        <w:rPr>
          <w:rFonts w:ascii="Arial" w:hAnsi="Arial" w:cs="Arial"/>
          <w:i/>
          <w:iCs/>
          <w:sz w:val="21"/>
          <w:szCs w:val="21"/>
          <w:lang w:val="id-ID" w:eastAsia="en-US"/>
        </w:rPr>
        <w:t>lainnya</w:t>
      </w:r>
      <w:r>
        <w:rPr>
          <w:rFonts w:ascii="Arial" w:hAnsi="Arial" w:cs="Arial"/>
          <w:sz w:val="21"/>
          <w:szCs w:val="21"/>
          <w:lang w:val="id-ID" w:eastAsia="en-US"/>
        </w:rPr>
        <w:t>]]</w:t>
      </w:r>
      <w:r>
        <w:rPr>
          <w:rStyle w:val="25"/>
          <w:rFonts w:ascii="Arial" w:hAnsi="Arial" w:cs="Arial"/>
          <w:sz w:val="21"/>
          <w:szCs w:val="21"/>
          <w:lang w:val="id-ID" w:eastAsia="en-US"/>
        </w:rPr>
        <w:t xml:space="preserve"> </w:t>
      </w:r>
      <w:r>
        <w:rPr>
          <w:rStyle w:val="25"/>
          <w:rFonts w:ascii="Arial" w:hAnsi="Arial" w:cs="Arial"/>
          <w:sz w:val="21"/>
          <w:szCs w:val="21"/>
          <w:lang w:val="id-ID" w:eastAsia="en-US"/>
        </w:rPr>
        <w:footnoteReference w:id="188"/>
      </w:r>
      <w:r>
        <w:rPr>
          <w:rFonts w:ascii="Arial" w:hAnsi="Arial" w:cs="Arial"/>
          <w:sz w:val="21"/>
          <w:szCs w:val="21"/>
          <w:lang w:val="id-ID" w:eastAsia="en-US"/>
        </w:rPr>
        <w:t>.</w:t>
      </w:r>
    </w:p>
    <w:p>
      <w:pPr>
        <w:pStyle w:val="72"/>
        <w:keepNext/>
        <w:spacing w:after="120"/>
        <w:rPr>
          <w:rFonts w:ascii="Arial" w:hAnsi="Arial" w:cs="Arial"/>
          <w:sz w:val="21"/>
          <w:szCs w:val="21"/>
          <w:lang w:val="id-ID" w:eastAsia="en-US"/>
        </w:rPr>
      </w:pPr>
      <w:r>
        <w:rPr>
          <w:rFonts w:ascii="Arial" w:hAnsi="Arial" w:cs="Arial"/>
          <w:sz w:val="21"/>
          <w:szCs w:val="21"/>
          <w:lang w:val="id-ID" w:eastAsia="en-US"/>
        </w:rPr>
        <w:t>"</w:t>
      </w:r>
      <w:r>
        <w:rPr>
          <w:rFonts w:ascii="Arial" w:hAnsi="Arial" w:cs="Arial"/>
          <w:b/>
          <w:bCs/>
          <w:sz w:val="21"/>
          <w:szCs w:val="21"/>
          <w:lang w:val="id-ID" w:eastAsia="en-US"/>
        </w:rPr>
        <w:t>Periode Perhitungan</w:t>
      </w:r>
      <w:r>
        <w:rPr>
          <w:rFonts w:ascii="Arial" w:hAnsi="Arial" w:cs="Arial"/>
          <w:sz w:val="21"/>
          <w:szCs w:val="21"/>
          <w:lang w:val="id-ID" w:eastAsia="en-US"/>
        </w:rPr>
        <w:t>" berarti, sehubungan dengan setiap Tanggal Perhitungan:</w:t>
      </w:r>
    </w:p>
    <w:p>
      <w:pPr>
        <w:pStyle w:val="71"/>
        <w:spacing w:after="120"/>
        <w:rPr>
          <w:rFonts w:ascii="Arial" w:hAnsi="Arial" w:cs="Arial"/>
          <w:sz w:val="21"/>
          <w:szCs w:val="21"/>
          <w:lang w:val="id-ID"/>
        </w:rPr>
      </w:pPr>
      <w:bookmarkStart w:id="281" w:name="_9kMI7N6ZWu8EB7DN"/>
      <w:bookmarkStart w:id="282" w:name="_9kMI7L7ZVw8EB79G"/>
      <w:r>
        <w:rPr>
          <w:rFonts w:ascii="Arial" w:hAnsi="Arial" w:cs="Arial"/>
          <w:bCs/>
          <w:sz w:val="21"/>
          <w:szCs w:val="21"/>
          <w:lang w:eastAsia="en-GB"/>
        </w:rPr>
        <w:t>[(untuk tujuan perhitungan Proyeksi DSCR)] periode [enam/12] bulan kalender mulai dari (dan termasuk) tanggal yang jatuh setelah Tanggal Perhitungan tersebut sampai (dan termasuk)</w:t>
      </w:r>
      <w:r>
        <w:rPr>
          <w:rFonts w:ascii="Arial" w:hAnsi="Arial" w:cs="Arial"/>
          <w:sz w:val="21"/>
          <w:szCs w:val="21"/>
          <w:lang w:val="id-ID"/>
        </w:rPr>
        <w:t xml:space="preserve"> [segera setelah </w:t>
      </w:r>
      <w:r>
        <w:rPr>
          <w:rStyle w:val="25"/>
          <w:rFonts w:ascii="Arial" w:hAnsi="Arial" w:cs="Arial"/>
          <w:sz w:val="21"/>
          <w:szCs w:val="21"/>
          <w:lang w:val="id-ID"/>
        </w:rPr>
        <w:footnoteReference w:id="189"/>
      </w:r>
      <w:r>
        <w:rPr>
          <w:rFonts w:ascii="Arial" w:hAnsi="Arial" w:cs="Arial"/>
          <w:sz w:val="21"/>
          <w:szCs w:val="21"/>
          <w:lang w:val="id-ID"/>
        </w:rPr>
        <w:t xml:space="preserve">] </w:t>
      </w:r>
      <w:bookmarkEnd w:id="281"/>
      <w:bookmarkEnd w:id="282"/>
      <w:r>
        <w:rPr>
          <w:rFonts w:ascii="Arial" w:hAnsi="Arial" w:cs="Arial"/>
          <w:sz w:val="21"/>
          <w:szCs w:val="21"/>
          <w:lang w:val="id-ID"/>
        </w:rPr>
        <w:t>Tanggal Pe</w:t>
      </w:r>
      <w:r>
        <w:rPr>
          <w:rFonts w:ascii="Arial" w:hAnsi="Arial" w:cs="Arial"/>
          <w:sz w:val="21"/>
          <w:szCs w:val="21"/>
          <w:lang w:val="en-US"/>
        </w:rPr>
        <w:t>r</w:t>
      </w:r>
      <w:r>
        <w:rPr>
          <w:rFonts w:ascii="Arial" w:hAnsi="Arial" w:cs="Arial"/>
          <w:sz w:val="21"/>
          <w:szCs w:val="21"/>
          <w:lang w:val="id-ID"/>
        </w:rPr>
        <w:t>hitungan</w:t>
      </w:r>
      <w:r>
        <w:rPr>
          <w:rFonts w:ascii="Arial" w:hAnsi="Arial" w:cs="Arial"/>
          <w:sz w:val="21"/>
          <w:szCs w:val="21"/>
          <w:lang w:val="en-US"/>
        </w:rPr>
        <w:t xml:space="preserve"> </w:t>
      </w:r>
      <w:r>
        <w:rPr>
          <w:rFonts w:ascii="Arial" w:hAnsi="Arial" w:cs="Arial"/>
          <w:sz w:val="21"/>
          <w:szCs w:val="21"/>
          <w:lang w:val="id-ID"/>
        </w:rPr>
        <w:t>[; dan</w:t>
      </w:r>
    </w:p>
    <w:p>
      <w:pPr>
        <w:pStyle w:val="71"/>
        <w:spacing w:after="120"/>
        <w:rPr>
          <w:rFonts w:ascii="Arial" w:hAnsi="Arial" w:cs="Arial"/>
          <w:sz w:val="21"/>
          <w:szCs w:val="21"/>
          <w:lang w:val="id-ID"/>
        </w:rPr>
      </w:pPr>
      <w:r>
        <w:rPr>
          <w:rFonts w:ascii="Arial" w:hAnsi="Arial" w:cs="Arial"/>
          <w:bCs/>
          <w:sz w:val="21"/>
          <w:szCs w:val="21"/>
          <w:lang w:eastAsia="en-GB"/>
        </w:rPr>
        <w:t>(untuk tujuan perhitungan DSCR Terdahulu) periode [enam/12] bulan kalender yang berakhir pada (dan termasuk) Tanggal Perhitungan tersebut (atau, dalam hal Tanggal Perhitungan pertama jatuh setelah Tanggal Penyelesaian Proyek, periode dari (dan termasuk) Tanggal Penyelesaian Proyek sampai (dan termasuk) Tanggal Perhitungan tersebut)]</w:t>
      </w:r>
      <w:r>
        <w:rPr>
          <w:rFonts w:ascii="Arial" w:hAnsi="Arial" w:cs="Arial"/>
          <w:sz w:val="21"/>
          <w:szCs w:val="21"/>
          <w:lang w:val="id-ID"/>
        </w:rPr>
        <w:t xml:space="preserve">. </w:t>
      </w:r>
    </w:p>
    <w:p>
      <w:pPr>
        <w:pStyle w:val="72"/>
        <w:keepNext/>
        <w:spacing w:after="120"/>
        <w:rPr>
          <w:rFonts w:ascii="Arial" w:hAnsi="Arial" w:cs="Arial"/>
          <w:sz w:val="21"/>
          <w:szCs w:val="21"/>
          <w:lang w:val="id-ID" w:eastAsia="en-US"/>
        </w:rPr>
      </w:pPr>
      <w:r>
        <w:rPr>
          <w:rFonts w:ascii="Arial" w:hAnsi="Arial" w:cs="Arial"/>
          <w:sz w:val="21"/>
          <w:szCs w:val="21"/>
          <w:lang w:val="id-ID" w:eastAsia="en-US"/>
        </w:rPr>
        <w:t>"</w:t>
      </w:r>
      <w:r>
        <w:rPr>
          <w:rFonts w:ascii="Arial" w:hAnsi="Arial" w:cs="Arial"/>
          <w:b/>
          <w:bCs/>
          <w:i/>
          <w:iCs/>
          <w:sz w:val="21"/>
          <w:szCs w:val="21"/>
          <w:lang w:val="en-US" w:eastAsia="en-US"/>
        </w:rPr>
        <w:t>Debt Service</w:t>
      </w:r>
      <w:r>
        <w:rPr>
          <w:rFonts w:ascii="Arial" w:hAnsi="Arial" w:cs="Arial"/>
          <w:sz w:val="21"/>
          <w:szCs w:val="21"/>
          <w:lang w:val="id-ID" w:eastAsia="en-US"/>
        </w:rPr>
        <w:t xml:space="preserve">" berarti, sehubungan dengan periode apa pun, </w:t>
      </w:r>
      <w:r>
        <w:rPr>
          <w:rFonts w:ascii="Arial" w:hAnsi="Arial" w:cs="Arial"/>
          <w:sz w:val="21"/>
          <w:szCs w:val="21"/>
          <w:lang w:val="en-US" w:eastAsia="en-US"/>
        </w:rPr>
        <w:t xml:space="preserve">keseluruhan </w:t>
      </w:r>
      <w:r>
        <w:rPr>
          <w:rFonts w:ascii="Arial" w:hAnsi="Arial" w:cs="Arial"/>
          <w:sz w:val="21"/>
          <w:szCs w:val="21"/>
          <w:lang w:val="id-ID" w:eastAsia="en-US"/>
        </w:rPr>
        <w:t xml:space="preserve">(tanpa penghitungan </w:t>
      </w:r>
      <w:r>
        <w:rPr>
          <w:rFonts w:ascii="Arial" w:hAnsi="Arial" w:cs="Arial"/>
          <w:sz w:val="21"/>
          <w:szCs w:val="21"/>
          <w:lang w:val="en-US" w:eastAsia="en-US"/>
        </w:rPr>
        <w:t>dobel</w:t>
      </w:r>
      <w:r>
        <w:rPr>
          <w:rFonts w:ascii="Arial" w:hAnsi="Arial" w:cs="Arial"/>
          <w:sz w:val="21"/>
          <w:szCs w:val="21"/>
          <w:lang w:val="id-ID" w:eastAsia="en-US"/>
        </w:rPr>
        <w:t>) dari biaya</w:t>
      </w:r>
      <w:r>
        <w:rPr>
          <w:rFonts w:ascii="Arial" w:hAnsi="Arial" w:cs="Arial"/>
          <w:sz w:val="21"/>
          <w:szCs w:val="21"/>
          <w:lang w:val="en-US" w:eastAsia="en-US"/>
        </w:rPr>
        <w:t>-biaya</w:t>
      </w:r>
      <w:r>
        <w:rPr>
          <w:rFonts w:ascii="Arial" w:hAnsi="Arial" w:cs="Arial"/>
          <w:sz w:val="21"/>
          <w:szCs w:val="21"/>
          <w:lang w:val="id-ID" w:eastAsia="en-US"/>
        </w:rPr>
        <w:t xml:space="preserve"> pembiayaan, </w:t>
      </w:r>
      <w:r>
        <w:rPr>
          <w:rFonts w:ascii="Arial" w:hAnsi="Arial" w:cs="Arial"/>
          <w:sz w:val="21"/>
          <w:szCs w:val="21"/>
          <w:lang w:val="en-US" w:eastAsia="en-US"/>
        </w:rPr>
        <w:t xml:space="preserve">utang pokok </w:t>
      </w:r>
      <w:r>
        <w:rPr>
          <w:rFonts w:ascii="Arial" w:hAnsi="Arial" w:cs="Arial"/>
          <w:sz w:val="21"/>
          <w:szCs w:val="21"/>
          <w:lang w:val="id-ID" w:eastAsia="en-US"/>
        </w:rPr>
        <w:t xml:space="preserve">terjadwal, dan </w:t>
      </w:r>
      <w:r>
        <w:rPr>
          <w:rFonts w:ascii="Arial" w:hAnsi="Arial" w:cs="Arial"/>
          <w:sz w:val="21"/>
          <w:szCs w:val="21"/>
          <w:lang w:val="en-US" w:eastAsia="en-US"/>
        </w:rPr>
        <w:t>setiap utang pokok</w:t>
      </w:r>
      <w:r>
        <w:rPr>
          <w:rFonts w:ascii="Arial" w:hAnsi="Arial" w:cs="Arial"/>
          <w:sz w:val="21"/>
          <w:szCs w:val="21"/>
          <w:lang w:val="id-ID" w:eastAsia="en-US"/>
        </w:rPr>
        <w:t xml:space="preserve">, bunga, </w:t>
      </w:r>
      <w:r>
        <w:rPr>
          <w:rFonts w:ascii="Arial" w:hAnsi="Arial" w:cs="Arial"/>
          <w:sz w:val="21"/>
          <w:szCs w:val="21"/>
          <w:lang w:val="en-US" w:eastAsia="en-US"/>
        </w:rPr>
        <w:t>biaya-biaya</w:t>
      </w:r>
      <w:r>
        <w:rPr>
          <w:rFonts w:ascii="Arial" w:hAnsi="Arial" w:cs="Arial"/>
          <w:sz w:val="21"/>
          <w:szCs w:val="21"/>
          <w:lang w:val="id-ID" w:eastAsia="en-US"/>
        </w:rPr>
        <w:t>, komisi</w:t>
      </w:r>
      <w:r>
        <w:rPr>
          <w:rFonts w:ascii="Arial" w:hAnsi="Arial" w:cs="Arial"/>
          <w:sz w:val="21"/>
          <w:szCs w:val="21"/>
          <w:lang w:val="en-US" w:eastAsia="en-US"/>
        </w:rPr>
        <w:t>-</w:t>
      </w:r>
      <w:r>
        <w:rPr>
          <w:rFonts w:ascii="Arial" w:hAnsi="Arial" w:cs="Arial"/>
          <w:sz w:val="21"/>
          <w:szCs w:val="21"/>
          <w:lang w:val="id-ID" w:eastAsia="en-US"/>
        </w:rPr>
        <w:t xml:space="preserve">komisi, </w:t>
      </w:r>
      <w:r>
        <w:rPr>
          <w:rFonts w:ascii="Arial" w:hAnsi="Arial" w:cs="Arial"/>
          <w:sz w:val="21"/>
          <w:szCs w:val="21"/>
          <w:lang w:val="en-US" w:eastAsia="en-US"/>
        </w:rPr>
        <w:t>beban-beban</w:t>
      </w:r>
      <w:r>
        <w:rPr>
          <w:rFonts w:ascii="Arial" w:hAnsi="Arial" w:cs="Arial"/>
          <w:sz w:val="21"/>
          <w:szCs w:val="21"/>
          <w:lang w:val="id-ID" w:eastAsia="en-US"/>
        </w:rPr>
        <w:t>, pengeluaran</w:t>
      </w:r>
      <w:r>
        <w:rPr>
          <w:rFonts w:ascii="Arial" w:hAnsi="Arial" w:cs="Arial"/>
          <w:sz w:val="21"/>
          <w:szCs w:val="21"/>
          <w:lang w:val="en-US" w:eastAsia="en-US"/>
        </w:rPr>
        <w:t>-</w:t>
      </w:r>
      <w:r>
        <w:rPr>
          <w:rFonts w:ascii="Arial" w:hAnsi="Arial" w:cs="Arial"/>
          <w:sz w:val="21"/>
          <w:szCs w:val="21"/>
          <w:lang w:val="id-ID" w:eastAsia="en-US"/>
        </w:rPr>
        <w:t>pengeluaran dan pembayaran</w:t>
      </w:r>
      <w:r>
        <w:rPr>
          <w:rFonts w:ascii="Arial" w:hAnsi="Arial" w:cs="Arial"/>
          <w:sz w:val="21"/>
          <w:szCs w:val="21"/>
          <w:lang w:val="en-US" w:eastAsia="en-US"/>
        </w:rPr>
        <w:t>-</w:t>
      </w:r>
      <w:r>
        <w:rPr>
          <w:rFonts w:ascii="Arial" w:hAnsi="Arial" w:cs="Arial"/>
          <w:sz w:val="21"/>
          <w:szCs w:val="21"/>
          <w:lang w:val="id-ID" w:eastAsia="en-US"/>
        </w:rPr>
        <w:t>pembayaran lain</w:t>
      </w:r>
      <w:r>
        <w:rPr>
          <w:rFonts w:ascii="Arial" w:hAnsi="Arial" w:cs="Arial"/>
          <w:sz w:val="21"/>
          <w:szCs w:val="21"/>
          <w:lang w:val="en-US" w:eastAsia="en-US"/>
        </w:rPr>
        <w:t>nya</w:t>
      </w:r>
      <w:r>
        <w:rPr>
          <w:rFonts w:ascii="Arial" w:hAnsi="Arial" w:cs="Arial"/>
          <w:sz w:val="21"/>
          <w:szCs w:val="21"/>
          <w:lang w:val="id-ID" w:eastAsia="en-US"/>
        </w:rPr>
        <w:t xml:space="preserve"> sehubungan dengan Utang Pembiayaan lain</w:t>
      </w:r>
      <w:r>
        <w:rPr>
          <w:rFonts w:ascii="Arial" w:hAnsi="Arial" w:cs="Arial"/>
          <w:sz w:val="21"/>
          <w:szCs w:val="21"/>
          <w:lang w:val="en-US" w:eastAsia="en-US"/>
        </w:rPr>
        <w:t xml:space="preserve"> </w:t>
      </w:r>
      <w:r>
        <w:rPr>
          <w:rFonts w:ascii="Arial" w:hAnsi="Arial" w:cs="Arial"/>
          <w:sz w:val="21"/>
          <w:szCs w:val="21"/>
          <w:lang w:val="id-ID" w:eastAsia="en-US"/>
        </w:rPr>
        <w:t xml:space="preserve">berdasarkan Dokumen-dokumen Pembiayaan dan setiap Pajak yang dibayarkan atau terutang </w:t>
      </w:r>
      <w:r>
        <w:rPr>
          <w:rFonts w:ascii="Arial" w:hAnsi="Arial" w:cs="Arial"/>
          <w:sz w:val="21"/>
          <w:szCs w:val="21"/>
          <w:lang w:val="en-US" w:eastAsia="en-US"/>
        </w:rPr>
        <w:t xml:space="preserve">berkenaan </w:t>
      </w:r>
      <w:r>
        <w:rPr>
          <w:rFonts w:ascii="Arial" w:hAnsi="Arial" w:cs="Arial"/>
          <w:sz w:val="21"/>
          <w:szCs w:val="21"/>
          <w:lang w:val="id-ID" w:eastAsia="en-US"/>
        </w:rPr>
        <w:t>dengan</w:t>
      </w:r>
      <w:r>
        <w:rPr>
          <w:rFonts w:ascii="Arial" w:hAnsi="Arial" w:cs="Arial"/>
          <w:sz w:val="21"/>
          <w:szCs w:val="21"/>
          <w:lang w:val="en-US" w:eastAsia="en-US"/>
        </w:rPr>
        <w:t xml:space="preserve"> hal tersebut</w:t>
      </w:r>
      <w:r>
        <w:rPr>
          <w:rFonts w:ascii="Arial" w:hAnsi="Arial" w:cs="Arial"/>
          <w:sz w:val="21"/>
          <w:szCs w:val="21"/>
          <w:lang w:val="id-ID" w:eastAsia="en-US"/>
        </w:rPr>
        <w:t xml:space="preserve">, dalam setiap </w:t>
      </w:r>
      <w:r>
        <w:rPr>
          <w:rFonts w:ascii="Arial" w:hAnsi="Arial" w:cs="Arial"/>
          <w:sz w:val="21"/>
          <w:szCs w:val="21"/>
          <w:lang w:val="en-US" w:eastAsia="en-US"/>
        </w:rPr>
        <w:t>hal</w:t>
      </w:r>
      <w:r>
        <w:rPr>
          <w:rFonts w:ascii="Arial" w:hAnsi="Arial" w:cs="Arial"/>
          <w:sz w:val="21"/>
          <w:szCs w:val="21"/>
          <w:lang w:val="id-ID" w:eastAsia="en-US"/>
        </w:rPr>
        <w:t xml:space="preserve">, yang </w:t>
      </w:r>
      <w:r>
        <w:rPr>
          <w:rFonts w:ascii="Arial" w:hAnsi="Arial" w:cs="Arial"/>
          <w:sz w:val="21"/>
          <w:szCs w:val="21"/>
          <w:lang w:val="en-US" w:eastAsia="en-US"/>
        </w:rPr>
        <w:t xml:space="preserve">bertambah </w:t>
      </w:r>
      <w:r>
        <w:rPr>
          <w:rFonts w:ascii="Arial" w:hAnsi="Arial" w:cs="Arial"/>
          <w:sz w:val="21"/>
          <w:szCs w:val="21"/>
          <w:lang w:val="id-ID" w:eastAsia="en-US"/>
        </w:rPr>
        <w:t xml:space="preserve">atau jatuh tempo (atau, dalam hal proyeksi, prakiraan akan </w:t>
      </w:r>
      <w:r>
        <w:rPr>
          <w:rFonts w:ascii="Arial" w:hAnsi="Arial" w:cs="Arial"/>
          <w:sz w:val="21"/>
          <w:szCs w:val="21"/>
          <w:lang w:val="en-US" w:eastAsia="en-US"/>
        </w:rPr>
        <w:t xml:space="preserve">bertambah </w:t>
      </w:r>
      <w:r>
        <w:rPr>
          <w:rFonts w:ascii="Arial" w:hAnsi="Arial" w:cs="Arial"/>
          <w:sz w:val="21"/>
          <w:szCs w:val="21"/>
          <w:lang w:val="id-ID" w:eastAsia="en-US"/>
        </w:rPr>
        <w:t xml:space="preserve">atau jatuh tempo) untuk pembayaran selama periode </w:t>
      </w:r>
      <w:r>
        <w:rPr>
          <w:rFonts w:ascii="Arial" w:hAnsi="Arial" w:cs="Arial"/>
          <w:sz w:val="21"/>
          <w:szCs w:val="21"/>
          <w:lang w:val="en-US" w:eastAsia="en-US"/>
        </w:rPr>
        <w:t>itu</w:t>
      </w:r>
      <w:r>
        <w:rPr>
          <w:rFonts w:ascii="Arial" w:hAnsi="Arial" w:cs="Arial"/>
          <w:sz w:val="21"/>
          <w:szCs w:val="21"/>
          <w:lang w:val="id-ID" w:eastAsia="en-US"/>
        </w:rPr>
        <w:t>.</w:t>
      </w:r>
    </w:p>
    <w:p>
      <w:pPr>
        <w:pStyle w:val="72"/>
        <w:keepNext/>
        <w:spacing w:after="120"/>
        <w:rPr>
          <w:rFonts w:ascii="Arial" w:hAnsi="Arial" w:cs="Arial"/>
          <w:sz w:val="21"/>
          <w:szCs w:val="21"/>
          <w:lang w:val="id-ID" w:eastAsia="en-US"/>
        </w:rPr>
      </w:pPr>
      <w:bookmarkStart w:id="283" w:name="_Hlk56117500"/>
      <w:r>
        <w:rPr>
          <w:rFonts w:ascii="Arial" w:hAnsi="Arial" w:cs="Arial"/>
          <w:sz w:val="21"/>
          <w:szCs w:val="21"/>
          <w:lang w:val="id-ID" w:eastAsia="en-US"/>
        </w:rPr>
        <w:t>"</w:t>
      </w:r>
      <w:r>
        <w:rPr>
          <w:rFonts w:ascii="Arial" w:hAnsi="Arial"/>
          <w:b/>
          <w:bCs/>
          <w:sz w:val="21"/>
          <w:szCs w:val="21"/>
          <w:lang w:val="id-ID" w:eastAsia="en-US"/>
        </w:rPr>
        <w:t xml:space="preserve">Arus Kas Diskonto Untuk </w:t>
      </w:r>
      <w:r>
        <w:rPr>
          <w:rFonts w:ascii="Arial" w:hAnsi="Arial"/>
          <w:b/>
          <w:bCs/>
          <w:i/>
          <w:iCs/>
          <w:sz w:val="21"/>
          <w:szCs w:val="21"/>
          <w:lang w:val="en-US" w:eastAsia="en-US"/>
        </w:rPr>
        <w:t>D</w:t>
      </w:r>
      <w:r>
        <w:rPr>
          <w:rFonts w:ascii="Arial" w:hAnsi="Arial"/>
          <w:b/>
          <w:bCs/>
          <w:i/>
          <w:iCs/>
          <w:sz w:val="21"/>
          <w:szCs w:val="21"/>
          <w:lang w:val="id-ID" w:eastAsia="en-US"/>
        </w:rPr>
        <w:t xml:space="preserve">ebt </w:t>
      </w:r>
      <w:r>
        <w:rPr>
          <w:rFonts w:ascii="Arial" w:hAnsi="Arial"/>
          <w:b/>
          <w:bCs/>
          <w:i/>
          <w:iCs/>
          <w:sz w:val="21"/>
          <w:szCs w:val="21"/>
          <w:lang w:val="en-US" w:eastAsia="en-US"/>
        </w:rPr>
        <w:t>S</w:t>
      </w:r>
      <w:r>
        <w:rPr>
          <w:rFonts w:ascii="Arial" w:hAnsi="Arial"/>
          <w:b/>
          <w:bCs/>
          <w:i/>
          <w:iCs/>
          <w:sz w:val="21"/>
          <w:szCs w:val="21"/>
          <w:lang w:val="id-ID" w:eastAsia="en-US"/>
        </w:rPr>
        <w:t>ervice</w:t>
      </w:r>
      <w:r>
        <w:rPr>
          <w:rFonts w:ascii="Arial" w:hAnsi="Arial"/>
          <w:sz w:val="21"/>
          <w:szCs w:val="21"/>
          <w:lang w:val="id-ID" w:eastAsia="en-US"/>
        </w:rPr>
        <w:t>" berarti, sehubungan dengan Tanggal Perhitungan, Arus Kas Yang Tersedia yang diproyeksikan dalam Kasus Dasar berjalan untuk Periode Perhitungan tersebut didiskontokan kembali ke Tanggal Perhitungan tersebut atas dasar bahwa</w:t>
      </w:r>
      <w:r>
        <w:rPr>
          <w:rFonts w:ascii="Arial" w:hAnsi="Arial" w:cs="Arial"/>
          <w:sz w:val="21"/>
          <w:szCs w:val="21"/>
          <w:lang w:val="id-ID" w:eastAsia="en-US"/>
        </w:rPr>
        <w:t>:</w:t>
      </w:r>
      <w:r>
        <w:rPr>
          <w:rStyle w:val="25"/>
          <w:rFonts w:ascii="Arial" w:hAnsi="Arial" w:cs="Arial"/>
          <w:sz w:val="21"/>
          <w:szCs w:val="21"/>
          <w:lang w:val="id-ID" w:eastAsia="en-US"/>
        </w:rPr>
        <w:t xml:space="preserve"> </w:t>
      </w:r>
      <w:r>
        <w:rPr>
          <w:rStyle w:val="25"/>
          <w:rFonts w:ascii="Arial" w:hAnsi="Arial" w:cs="Arial"/>
          <w:sz w:val="21"/>
          <w:szCs w:val="21"/>
          <w:lang w:val="id-ID" w:eastAsia="en-US"/>
        </w:rPr>
        <w:footnoteReference w:id="190"/>
      </w:r>
      <w:r>
        <w:rPr>
          <w:rFonts w:ascii="Arial" w:hAnsi="Arial" w:cs="Arial"/>
          <w:sz w:val="21"/>
          <w:szCs w:val="21"/>
          <w:lang w:val="id-ID" w:eastAsia="en-US"/>
        </w:rPr>
        <w:t xml:space="preserve"> </w:t>
      </w:r>
    </w:p>
    <w:p>
      <w:pPr>
        <w:pStyle w:val="71"/>
        <w:keepNext/>
        <w:spacing w:after="120"/>
        <w:rPr>
          <w:rFonts w:ascii="Arial" w:hAnsi="Arial" w:cs="Arial"/>
          <w:sz w:val="21"/>
          <w:szCs w:val="21"/>
          <w:lang w:val="id-ID"/>
        </w:rPr>
      </w:pPr>
      <w:r>
        <w:rPr>
          <w:rFonts w:ascii="Arial" w:hAnsi="Arial" w:cs="Arial"/>
          <w:bCs/>
          <w:sz w:val="21"/>
          <w:szCs w:val="21"/>
          <w:lang w:eastAsia="en-GB"/>
        </w:rPr>
        <w:t>tingkat diskonto yang akan diterapkan adalah rata-rata tertimbang (dihitung oleh Agen Antarkreditur dengan mengacu pada jumlah terutang berdasarkan [masing-masing] Fasilitas) dari tingkat yang diasumsikan dalam Kasus Dasar berjalan menjadi tingkat di mana bunga akan bertambah berdasarkan [Fasilitas] dari Tanggal Perhitungan tersebut hingga Tanggal Jatuh Tempo Akhir [, dalam setiap hal, dengan mempertimbangkan lindung nilai suku bunga yang berlaku berdasarkan Perjanjian-perjanjian Lindung Nilai</w:t>
      </w:r>
      <w:r>
        <w:rPr>
          <w:rFonts w:ascii="Arial" w:hAnsi="Arial" w:cs="Arial"/>
          <w:sz w:val="21"/>
          <w:szCs w:val="21"/>
          <w:lang w:val="id-ID"/>
        </w:rPr>
        <w:t>]</w:t>
      </w:r>
      <w:r>
        <w:rPr>
          <w:rFonts w:ascii="Arial" w:hAnsi="Arial" w:cs="Arial"/>
          <w:sz w:val="21"/>
          <w:szCs w:val="21"/>
          <w:vertAlign w:val="superscript"/>
          <w:lang w:val="id-ID"/>
        </w:rPr>
        <w:footnoteReference w:id="191"/>
      </w:r>
      <w:r>
        <w:rPr>
          <w:rFonts w:ascii="Arial" w:hAnsi="Arial" w:cs="Arial"/>
          <w:sz w:val="21"/>
          <w:szCs w:val="21"/>
          <w:lang w:val="id-ID"/>
        </w:rPr>
        <w:t>; dan</w:t>
      </w:r>
    </w:p>
    <w:p>
      <w:pPr>
        <w:pStyle w:val="71"/>
        <w:keepNext/>
        <w:spacing w:after="120"/>
        <w:rPr>
          <w:rFonts w:ascii="Arial" w:hAnsi="Arial" w:cs="Arial"/>
          <w:sz w:val="21"/>
          <w:szCs w:val="21"/>
          <w:lang w:val="id-ID"/>
        </w:rPr>
      </w:pPr>
      <w:r>
        <w:rPr>
          <w:rFonts w:ascii="Arial" w:hAnsi="Arial" w:cs="Arial"/>
          <w:bCs/>
          <w:sz w:val="21"/>
          <w:szCs w:val="21"/>
          <w:lang w:eastAsia="en-GB"/>
        </w:rPr>
        <w:t>pendiskontoan akan dilakukan secara [tengah tahunan/tahunan] dan dengan asumsi bahwa arus kas untuk periode [tengah tahunan/tahunan] terjadi pada akhir periode [tengah tahunan/tahunan] tersebut.</w:t>
      </w:r>
      <w:r>
        <w:rPr>
          <w:rFonts w:ascii="Arial" w:hAnsi="Arial" w:cs="Arial"/>
          <w:sz w:val="21"/>
          <w:szCs w:val="21"/>
          <w:lang w:val="id-ID"/>
        </w:rPr>
        <w:t xml:space="preserve"> </w:t>
      </w:r>
    </w:p>
    <w:bookmarkEnd w:id="283"/>
    <w:p>
      <w:pPr>
        <w:pStyle w:val="72"/>
        <w:keepNext/>
        <w:spacing w:after="120"/>
        <w:rPr>
          <w:rFonts w:ascii="Arial" w:hAnsi="Arial" w:cs="Arial"/>
          <w:sz w:val="21"/>
          <w:szCs w:val="21"/>
          <w:lang w:val="id-ID"/>
        </w:rPr>
      </w:pPr>
      <w:r>
        <w:rPr>
          <w:rFonts w:ascii="Arial" w:hAnsi="Arial" w:cs="Arial"/>
          <w:sz w:val="21"/>
          <w:szCs w:val="21"/>
          <w:lang w:val="id-ID"/>
        </w:rPr>
        <w:t>"</w:t>
      </w:r>
      <w:r>
        <w:rPr>
          <w:rFonts w:ascii="Arial" w:hAnsi="Arial" w:cs="Arial"/>
          <w:b/>
          <w:sz w:val="21"/>
          <w:szCs w:val="21"/>
          <w:lang w:val="id-ID"/>
        </w:rPr>
        <w:t>Dampak Merugikan</w:t>
      </w:r>
      <w:r>
        <w:rPr>
          <w:rFonts w:ascii="Arial" w:hAnsi="Arial" w:cs="Arial"/>
          <w:b/>
          <w:sz w:val="21"/>
          <w:szCs w:val="21"/>
          <w:lang w:val="en-US"/>
        </w:rPr>
        <w:t xml:space="preserve"> Yang</w:t>
      </w:r>
      <w:r>
        <w:rPr>
          <w:rFonts w:ascii="Arial" w:hAnsi="Arial" w:cs="Arial"/>
          <w:b/>
          <w:sz w:val="21"/>
          <w:szCs w:val="21"/>
          <w:lang w:val="id-ID"/>
        </w:rPr>
        <w:t xml:space="preserve"> Material</w:t>
      </w:r>
      <w:r>
        <w:rPr>
          <w:rFonts w:ascii="Arial" w:hAnsi="Arial" w:cs="Arial"/>
          <w:sz w:val="21"/>
          <w:szCs w:val="21"/>
          <w:lang w:val="id-ID"/>
        </w:rPr>
        <w:t>"</w:t>
      </w:r>
      <w:r>
        <w:rPr>
          <w:rFonts w:ascii="Arial" w:hAnsi="Arial" w:cs="Arial"/>
          <w:b/>
          <w:sz w:val="21"/>
          <w:szCs w:val="21"/>
          <w:lang w:val="id-ID"/>
        </w:rPr>
        <w:t xml:space="preserve"> </w:t>
      </w:r>
      <w:r>
        <w:rPr>
          <w:rFonts w:ascii="Arial" w:hAnsi="Arial" w:cs="Arial"/>
          <w:bCs/>
          <w:sz w:val="21"/>
          <w:szCs w:val="21"/>
          <w:lang w:eastAsia="en-GB"/>
        </w:rPr>
        <w:t>berarti dampak merugikan yang material terhadap</w:t>
      </w:r>
      <w:r>
        <w:rPr>
          <w:rFonts w:ascii="Arial" w:hAnsi="Arial" w:cs="Arial"/>
          <w:sz w:val="21"/>
          <w:szCs w:val="21"/>
          <w:lang w:val="id-ID"/>
        </w:rPr>
        <w:t>:</w:t>
      </w:r>
    </w:p>
    <w:p>
      <w:pPr>
        <w:pStyle w:val="71"/>
        <w:spacing w:after="120"/>
        <w:rPr>
          <w:rFonts w:ascii="Arial" w:hAnsi="Arial" w:cs="Arial"/>
          <w:sz w:val="21"/>
          <w:szCs w:val="21"/>
          <w:lang w:val="id-ID" w:eastAsia="en-US" w:bidi="ar-SA"/>
        </w:rPr>
      </w:pPr>
      <w:r>
        <w:rPr>
          <w:rFonts w:ascii="Arial" w:hAnsi="Arial" w:cs="Arial"/>
          <w:bCs/>
          <w:sz w:val="21"/>
          <w:szCs w:val="21"/>
          <w:lang w:eastAsia="en-GB"/>
        </w:rPr>
        <w:t>bisnis, operasi-operasi, aset-aset, propert</w:t>
      </w:r>
      <w:r>
        <w:rPr>
          <w:rFonts w:ascii="Arial" w:hAnsi="Arial" w:cs="Arial"/>
          <w:bCs/>
          <w:sz w:val="21"/>
          <w:szCs w:val="21"/>
          <w:lang w:val="en-US" w:eastAsia="en-GB"/>
        </w:rPr>
        <w:t>i</w:t>
      </w:r>
      <w:r>
        <w:rPr>
          <w:rFonts w:ascii="Arial" w:hAnsi="Arial" w:cs="Arial"/>
          <w:bCs/>
          <w:sz w:val="21"/>
          <w:szCs w:val="21"/>
          <w:lang w:eastAsia="en-GB"/>
        </w:rPr>
        <w:t xml:space="preserve"> atau kondisi saat ini atau di masa yang akan datang (finansial atau lainnya) dari</w:t>
      </w:r>
      <w:r>
        <w:rPr>
          <w:rFonts w:ascii="Arial" w:hAnsi="Arial" w:cs="Arial"/>
          <w:sz w:val="21"/>
          <w:szCs w:val="21"/>
          <w:lang w:val="id-ID"/>
        </w:rPr>
        <w:t xml:space="preserve"> Perusahaan Proyek [atau [Pemegang Saham][Sponsor]];</w:t>
      </w:r>
    </w:p>
    <w:p>
      <w:pPr>
        <w:pStyle w:val="71"/>
        <w:spacing w:after="120"/>
        <w:rPr>
          <w:rFonts w:ascii="Arial" w:hAnsi="Arial" w:cs="Arial"/>
          <w:sz w:val="21"/>
          <w:szCs w:val="21"/>
          <w:lang w:val="id-ID" w:eastAsia="en-US" w:bidi="ar-SA"/>
        </w:rPr>
      </w:pPr>
      <w:r>
        <w:rPr>
          <w:rFonts w:ascii="Arial" w:hAnsi="Arial" w:cs="Arial"/>
          <w:bCs/>
          <w:sz w:val="21"/>
          <w:szCs w:val="21"/>
          <w:lang w:eastAsia="en-GB"/>
        </w:rPr>
        <w:t>kemampuan Partisipan Proyek Utama untuk melaksanakan kewajiban-kewajiban [pembayaran atau hal lainnya] berdasarkan</w:t>
      </w:r>
      <w:r>
        <w:rPr>
          <w:rFonts w:ascii="Arial" w:hAnsi="Arial" w:cs="Arial"/>
          <w:sz w:val="21"/>
          <w:szCs w:val="21"/>
          <w:lang w:val="id-ID"/>
        </w:rPr>
        <w:t>:</w:t>
      </w:r>
    </w:p>
    <w:p>
      <w:pPr>
        <w:pStyle w:val="70"/>
        <w:spacing w:after="120"/>
        <w:rPr>
          <w:rFonts w:ascii="Arial" w:hAnsi="Arial" w:cs="Arial"/>
          <w:sz w:val="21"/>
          <w:szCs w:val="21"/>
          <w:lang w:val="id-ID" w:eastAsia="en-US" w:bidi="ar-SA"/>
        </w:rPr>
      </w:pPr>
      <w:r>
        <w:rPr>
          <w:rFonts w:ascii="Arial" w:hAnsi="Arial" w:cs="Arial"/>
          <w:sz w:val="21"/>
          <w:szCs w:val="21"/>
          <w:lang w:val="id-ID"/>
        </w:rPr>
        <w:t>salah satu Dokumen-dokumen Pembiayaan; atau</w:t>
      </w:r>
    </w:p>
    <w:p>
      <w:pPr>
        <w:pStyle w:val="70"/>
        <w:spacing w:after="120"/>
        <w:rPr>
          <w:rFonts w:ascii="Arial" w:hAnsi="Arial" w:cs="Arial"/>
          <w:sz w:val="21"/>
          <w:szCs w:val="21"/>
          <w:lang w:val="id-ID" w:eastAsia="en-US" w:bidi="ar-SA"/>
        </w:rPr>
      </w:pPr>
      <w:r>
        <w:rPr>
          <w:rFonts w:ascii="Arial" w:hAnsi="Arial" w:cs="Arial"/>
          <w:sz w:val="21"/>
          <w:szCs w:val="21"/>
          <w:lang w:val="id-ID"/>
        </w:rPr>
        <w:t>salah satu Dokumen-dokumen Proyek [selain dari Dokumen-dokumen Proyek yang telah di</w:t>
      </w:r>
      <w:r>
        <w:rPr>
          <w:rFonts w:ascii="Arial" w:hAnsi="Arial" w:cs="Arial"/>
          <w:sz w:val="21"/>
          <w:szCs w:val="21"/>
          <w:lang w:val="en-US"/>
        </w:rPr>
        <w:t xml:space="preserve">lepaskan </w:t>
      </w:r>
      <w:r>
        <w:rPr>
          <w:rFonts w:ascii="Arial" w:hAnsi="Arial" w:cs="Arial"/>
          <w:sz w:val="21"/>
          <w:szCs w:val="21"/>
          <w:lang w:val="id-ID"/>
        </w:rPr>
        <w:t>atau diganti]; atau</w:t>
      </w:r>
    </w:p>
    <w:p>
      <w:pPr>
        <w:pStyle w:val="71"/>
        <w:spacing w:after="120"/>
        <w:rPr>
          <w:rFonts w:ascii="Arial" w:hAnsi="Arial" w:cs="Arial"/>
          <w:sz w:val="21"/>
          <w:szCs w:val="21"/>
          <w:lang w:val="id-ID"/>
        </w:rPr>
      </w:pPr>
      <w:r>
        <w:rPr>
          <w:rFonts w:ascii="Arial" w:hAnsi="Arial" w:cs="Arial"/>
          <w:bCs/>
          <w:sz w:val="21"/>
          <w:szCs w:val="21"/>
          <w:lang w:eastAsia="en-GB"/>
        </w:rPr>
        <w:t>(bergantung pada Reservasi-Reservasi Hukum (</w:t>
      </w:r>
      <w:r>
        <w:rPr>
          <w:rFonts w:ascii="Arial" w:hAnsi="Arial" w:cs="Arial"/>
          <w:bCs/>
          <w:i/>
          <w:iCs/>
          <w:sz w:val="21"/>
          <w:szCs w:val="21"/>
          <w:lang w:eastAsia="en-GB"/>
        </w:rPr>
        <w:t>Legal Reservations</w:t>
      </w:r>
      <w:r>
        <w:rPr>
          <w:rFonts w:ascii="Arial" w:hAnsi="Arial" w:cs="Arial"/>
          <w:bCs/>
          <w:sz w:val="21"/>
          <w:szCs w:val="21"/>
          <w:lang w:eastAsia="en-GB"/>
        </w:rPr>
        <w:t>) dan Persyaratan-persyaratan Kesempurnaan (</w:t>
      </w:r>
      <w:r>
        <w:rPr>
          <w:rFonts w:ascii="Arial" w:hAnsi="Arial" w:cs="Arial"/>
          <w:bCs/>
          <w:i/>
          <w:iCs/>
          <w:sz w:val="21"/>
          <w:szCs w:val="21"/>
          <w:lang w:eastAsia="en-GB"/>
        </w:rPr>
        <w:t>Perfection Requirements</w:t>
      </w:r>
      <w:r>
        <w:rPr>
          <w:rFonts w:ascii="Arial" w:hAnsi="Arial" w:cs="Arial"/>
          <w:bCs/>
          <w:sz w:val="21"/>
          <w:szCs w:val="21"/>
          <w:lang w:eastAsia="en-GB"/>
        </w:rPr>
        <w:t>) yang berlaku yang tidak lewat waktu) keabsahan atau keberlakuan atas, atau keefektifan atau peringkat dari setiap Jaminan Transaksi yang diberikan atau dimaksudkan untuk diberikan berdasarkan dengan Dokumen-Dokumen Transaksi manapun atau hak-hak atau upaya-upaya hukum dari setiap Pihak Pembiayaan dalam Dokumen-Dokumen Transaksi [selain dari, di dalam setiap kasus, setiap Dokumen-Dokumen Proyek yang telah Dilepaskan atau Diganti]</w:t>
      </w:r>
      <w:r>
        <w:rPr>
          <w:rFonts w:ascii="Arial" w:hAnsi="Arial" w:cs="Arial"/>
          <w:sz w:val="21"/>
          <w:szCs w:val="21"/>
          <w:lang w:val="id-ID"/>
        </w:rPr>
        <w:t xml:space="preserve">. </w:t>
      </w:r>
    </w:p>
    <w:p>
      <w:pPr>
        <w:pStyle w:val="72"/>
        <w:keepNext/>
        <w:spacing w:after="120"/>
        <w:rPr>
          <w:rFonts w:ascii="Arial" w:hAnsi="Arial" w:cs="Arial"/>
          <w:sz w:val="21"/>
          <w:szCs w:val="21"/>
          <w:lang w:val="id-ID"/>
        </w:rPr>
      </w:pPr>
      <w:r>
        <w:rPr>
          <w:rFonts w:ascii="Arial" w:hAnsi="Arial" w:cs="Arial"/>
          <w:sz w:val="21"/>
          <w:szCs w:val="21"/>
          <w:lang w:val="id-ID"/>
        </w:rPr>
        <w:t>"</w:t>
      </w:r>
      <w:r>
        <w:rPr>
          <w:rFonts w:ascii="Arial" w:hAnsi="Arial" w:cs="Arial"/>
          <w:b/>
          <w:sz w:val="21"/>
          <w:szCs w:val="21"/>
          <w:lang w:val="en-US"/>
        </w:rPr>
        <w:t>Pendapatan</w:t>
      </w:r>
      <w:r>
        <w:rPr>
          <w:rFonts w:ascii="Arial" w:hAnsi="Arial" w:cs="Arial"/>
          <w:sz w:val="21"/>
          <w:szCs w:val="21"/>
          <w:lang w:val="id-ID"/>
        </w:rPr>
        <w:t xml:space="preserve">" </w:t>
      </w:r>
      <w:r>
        <w:rPr>
          <w:rFonts w:ascii="Arial" w:hAnsi="Arial" w:cs="Arial"/>
          <w:bCs/>
          <w:sz w:val="21"/>
          <w:szCs w:val="21"/>
          <w:lang w:eastAsia="en-GB"/>
        </w:rPr>
        <w:t>berarti, dalam kaitannya dengan periode apa</w:t>
      </w:r>
      <w:r>
        <w:rPr>
          <w:rFonts w:ascii="Arial" w:hAnsi="Arial" w:cs="Arial"/>
          <w:bCs/>
          <w:sz w:val="21"/>
          <w:szCs w:val="21"/>
          <w:lang w:val="en-US" w:eastAsia="en-GB"/>
        </w:rPr>
        <w:t xml:space="preserve"> </w:t>
      </w:r>
      <w:r>
        <w:rPr>
          <w:rFonts w:ascii="Arial" w:hAnsi="Arial" w:cs="Arial"/>
          <w:bCs/>
          <w:sz w:val="21"/>
          <w:szCs w:val="21"/>
          <w:lang w:eastAsia="en-GB"/>
        </w:rPr>
        <w:t>pun, seluruh jumlah yang diterima (atau, dalam hal suatu proyeksi, diproyeksikan akan diterima) oleh Debitur selama periode tersebut (tanpa dilakukannya perhitungan dobel), yang terdiri dari</w:t>
      </w:r>
      <w:r>
        <w:rPr>
          <w:rFonts w:ascii="Arial" w:hAnsi="Arial" w:cs="Arial"/>
          <w:sz w:val="21"/>
          <w:szCs w:val="21"/>
          <w:lang w:val="id-ID"/>
        </w:rPr>
        <w:t>:</w:t>
      </w:r>
    </w:p>
    <w:p>
      <w:pPr>
        <w:pStyle w:val="71"/>
        <w:spacing w:after="120"/>
        <w:rPr>
          <w:rFonts w:ascii="Arial" w:hAnsi="Arial" w:cs="Arial"/>
          <w:sz w:val="21"/>
          <w:szCs w:val="21"/>
          <w:lang w:val="id-ID"/>
        </w:rPr>
      </w:pPr>
      <w:r>
        <w:rPr>
          <w:rFonts w:ascii="Arial" w:hAnsi="Arial" w:cs="Arial"/>
          <w:bCs/>
          <w:sz w:val="21"/>
          <w:szCs w:val="21"/>
          <w:lang w:eastAsia="en-GB"/>
        </w:rPr>
        <w:t>pendapatan-pendapatan yang diterima dari atau sehubungan dengan [</w:t>
      </w:r>
      <w:r>
        <w:rPr>
          <w:rFonts w:ascii="Arial" w:hAnsi="Arial" w:cs="Arial"/>
          <w:bCs/>
          <w:i/>
          <w:iCs/>
          <w:sz w:val="21"/>
          <w:szCs w:val="21"/>
          <w:lang w:eastAsia="en-GB"/>
        </w:rPr>
        <w:t>masukkan sumber pendapatan(-pendapatan)</w:t>
      </w:r>
      <w:r>
        <w:rPr>
          <w:rFonts w:ascii="Arial" w:hAnsi="Arial" w:cs="Arial"/>
          <w:i/>
          <w:iCs/>
          <w:sz w:val="21"/>
          <w:szCs w:val="21"/>
          <w:lang w:val="id-ID"/>
        </w:rPr>
        <w:t xml:space="preserve"> </w:t>
      </w:r>
      <w:r>
        <w:rPr>
          <w:rFonts w:ascii="Arial" w:hAnsi="Arial" w:cs="Arial"/>
          <w:i/>
          <w:iCs/>
          <w:sz w:val="21"/>
          <w:szCs w:val="21"/>
          <w:lang w:val="en-US"/>
        </w:rPr>
        <w:t xml:space="preserve">utama untuk </w:t>
      </w:r>
      <w:r>
        <w:rPr>
          <w:rFonts w:ascii="Arial" w:hAnsi="Arial" w:cs="Arial"/>
          <w:i/>
          <w:iCs/>
          <w:sz w:val="21"/>
          <w:szCs w:val="21"/>
          <w:lang w:val="id-ID"/>
        </w:rPr>
        <w:t>Proyek</w:t>
      </w:r>
      <w:r>
        <w:rPr>
          <w:rFonts w:ascii="Arial" w:hAnsi="Arial" w:cs="Arial"/>
          <w:sz w:val="21"/>
          <w:szCs w:val="21"/>
          <w:lang w:val="id-ID"/>
        </w:rPr>
        <w:t>];</w:t>
      </w:r>
    </w:p>
    <w:p>
      <w:pPr>
        <w:pStyle w:val="71"/>
        <w:spacing w:after="120"/>
        <w:rPr>
          <w:rFonts w:ascii="Arial" w:hAnsi="Arial" w:cs="Arial"/>
          <w:sz w:val="21"/>
          <w:szCs w:val="21"/>
          <w:lang w:val="id-ID"/>
        </w:rPr>
      </w:pPr>
      <w:r>
        <w:rPr>
          <w:rFonts w:ascii="Arial" w:hAnsi="Arial" w:cs="Arial"/>
          <w:bCs/>
          <w:sz w:val="21"/>
          <w:szCs w:val="21"/>
          <w:lang w:eastAsia="en-GB"/>
        </w:rPr>
        <w:t>Ganti Rugi Yang Ditetapkan Nilainya Atas Keterlambatan Penyelesaian (</w:t>
      </w:r>
      <w:r>
        <w:rPr>
          <w:rFonts w:ascii="Arial" w:hAnsi="Arial" w:cs="Arial"/>
          <w:bCs/>
          <w:i/>
          <w:iCs/>
          <w:sz w:val="21"/>
          <w:szCs w:val="21"/>
          <w:lang w:eastAsia="en-GB"/>
        </w:rPr>
        <w:t>Delay Liquidated Damages</w:t>
      </w:r>
      <w:r>
        <w:rPr>
          <w:rFonts w:ascii="Arial" w:hAnsi="Arial" w:cs="Arial"/>
          <w:bCs/>
          <w:sz w:val="21"/>
          <w:szCs w:val="21"/>
          <w:lang w:eastAsia="en-GB"/>
        </w:rPr>
        <w:t>)</w:t>
      </w:r>
      <w:r>
        <w:rPr>
          <w:rFonts w:ascii="Arial" w:hAnsi="Arial" w:cs="Arial"/>
          <w:sz w:val="21"/>
          <w:szCs w:val="21"/>
          <w:lang w:val="id-ID"/>
        </w:rPr>
        <w:t xml:space="preserve">; </w:t>
      </w:r>
    </w:p>
    <w:p>
      <w:pPr>
        <w:pStyle w:val="71"/>
        <w:spacing w:after="120"/>
        <w:rPr>
          <w:rFonts w:ascii="Arial" w:hAnsi="Arial" w:cs="Arial"/>
          <w:sz w:val="21"/>
          <w:szCs w:val="21"/>
          <w:lang w:val="id-ID"/>
        </w:rPr>
      </w:pPr>
      <w:r>
        <w:rPr>
          <w:rFonts w:ascii="Arial" w:hAnsi="Arial" w:cs="Arial"/>
          <w:bCs/>
          <w:sz w:val="21"/>
          <w:szCs w:val="21"/>
          <w:lang w:eastAsia="en-GB"/>
        </w:rPr>
        <w:t>Hasil-hasil Klaim Asuransi yang diterima berdasarkan Asuransi Kehilangan Pendapatan</w:t>
      </w:r>
      <w:r>
        <w:rPr>
          <w:rFonts w:ascii="Arial" w:hAnsi="Arial" w:cs="Arial"/>
          <w:sz w:val="21"/>
          <w:szCs w:val="21"/>
          <w:lang w:val="id-ID"/>
        </w:rPr>
        <w:t>;</w:t>
      </w:r>
    </w:p>
    <w:p>
      <w:pPr>
        <w:pStyle w:val="71"/>
        <w:spacing w:after="120"/>
        <w:rPr>
          <w:rFonts w:ascii="Arial" w:hAnsi="Arial" w:cs="Arial"/>
          <w:sz w:val="21"/>
          <w:szCs w:val="21"/>
          <w:lang w:val="id-ID"/>
        </w:rPr>
      </w:pPr>
      <w:r>
        <w:rPr>
          <w:rFonts w:ascii="Arial" w:hAnsi="Arial" w:cs="Arial"/>
          <w:bCs/>
          <w:sz w:val="21"/>
          <w:szCs w:val="21"/>
          <w:lang w:eastAsia="en-GB"/>
        </w:rPr>
        <w:t>bunga yang dibayarkan pada Rekening-rekening</w:t>
      </w:r>
      <w:r>
        <w:rPr>
          <w:rFonts w:ascii="Arial" w:hAnsi="Arial" w:cs="Arial"/>
          <w:sz w:val="21"/>
          <w:szCs w:val="21"/>
          <w:lang w:val="id-ID"/>
        </w:rPr>
        <w:t>;</w:t>
      </w:r>
    </w:p>
    <w:p>
      <w:pPr>
        <w:pStyle w:val="71"/>
        <w:spacing w:after="120"/>
        <w:rPr>
          <w:rFonts w:ascii="Arial" w:hAnsi="Arial" w:cs="Arial"/>
          <w:sz w:val="21"/>
          <w:szCs w:val="21"/>
          <w:lang w:val="id-ID"/>
        </w:rPr>
      </w:pPr>
      <w:r>
        <w:rPr>
          <w:rFonts w:ascii="Arial" w:hAnsi="Arial" w:cs="Arial"/>
          <w:bCs/>
          <w:sz w:val="21"/>
          <w:szCs w:val="21"/>
          <w:lang w:eastAsia="en-GB"/>
        </w:rPr>
        <w:t>pengembalian-pengembalian Pajak dalam bentuk apa</w:t>
      </w:r>
      <w:r>
        <w:rPr>
          <w:rFonts w:ascii="Arial" w:hAnsi="Arial" w:cs="Arial"/>
          <w:bCs/>
          <w:sz w:val="21"/>
          <w:szCs w:val="21"/>
          <w:lang w:val="en-US" w:eastAsia="en-GB"/>
        </w:rPr>
        <w:t xml:space="preserve"> </w:t>
      </w:r>
      <w:r>
        <w:rPr>
          <w:rFonts w:ascii="Arial" w:hAnsi="Arial" w:cs="Arial"/>
          <w:bCs/>
          <w:sz w:val="21"/>
          <w:szCs w:val="21"/>
          <w:lang w:eastAsia="en-GB"/>
        </w:rPr>
        <w:t>pun</w:t>
      </w:r>
      <w:r>
        <w:rPr>
          <w:rFonts w:ascii="Arial" w:hAnsi="Arial" w:cs="Arial"/>
          <w:sz w:val="21"/>
          <w:szCs w:val="21"/>
          <w:lang w:val="id-ID"/>
        </w:rPr>
        <w:t>;</w:t>
      </w:r>
    </w:p>
    <w:p>
      <w:pPr>
        <w:pStyle w:val="71"/>
        <w:spacing w:after="120"/>
        <w:rPr>
          <w:rFonts w:ascii="Arial" w:hAnsi="Arial" w:cs="Arial"/>
          <w:sz w:val="21"/>
          <w:szCs w:val="21"/>
          <w:lang w:val="id-ID"/>
        </w:rPr>
      </w:pPr>
      <w:r>
        <w:rPr>
          <w:rFonts w:ascii="Arial" w:hAnsi="Arial" w:cs="Arial"/>
          <w:bCs/>
          <w:sz w:val="21"/>
          <w:szCs w:val="21"/>
          <w:lang w:eastAsia="en-GB"/>
        </w:rPr>
        <w:t>(jika suatu jumlah positif) jumlah-jumlah net dari jumlah yang telah dibayarkan sesuai jadwal (atau, dalam hal proyeksi, diproyeksikan untuk dibayarkan) kepada Debitur sesuai dengan Perjanjian-perjanjian Lindung Nilai (selain Biaya-biaya Pengakhiran Lindung Nilai)</w:t>
      </w:r>
      <w:r>
        <w:rPr>
          <w:rFonts w:ascii="Arial" w:hAnsi="Arial" w:cs="Arial"/>
          <w:sz w:val="21"/>
          <w:szCs w:val="21"/>
          <w:lang w:val="id-ID"/>
        </w:rPr>
        <w:t>; dan</w:t>
      </w:r>
    </w:p>
    <w:p>
      <w:pPr>
        <w:pStyle w:val="71"/>
        <w:spacing w:after="120"/>
        <w:rPr>
          <w:rFonts w:ascii="Arial" w:hAnsi="Arial" w:cs="Arial"/>
          <w:sz w:val="21"/>
          <w:szCs w:val="21"/>
          <w:lang w:val="id-ID"/>
        </w:rPr>
      </w:pPr>
      <w:r>
        <w:rPr>
          <w:rFonts w:ascii="Arial" w:hAnsi="Arial" w:cs="Arial"/>
          <w:bCs/>
          <w:sz w:val="21"/>
          <w:szCs w:val="21"/>
          <w:lang w:eastAsia="en-GB"/>
        </w:rPr>
        <w:t>jumlah-jumlah lain yang disetujui oleh Agen Antarkreditur sebagai Pendapatan</w:t>
      </w:r>
      <w:r>
        <w:rPr>
          <w:rFonts w:ascii="Arial" w:hAnsi="Arial" w:cs="Arial"/>
          <w:sz w:val="21"/>
          <w:szCs w:val="21"/>
          <w:lang w:val="id-ID"/>
        </w:rPr>
        <w:t>,</w:t>
      </w:r>
    </w:p>
    <w:p>
      <w:pPr>
        <w:pStyle w:val="63"/>
        <w:spacing w:after="120"/>
        <w:rPr>
          <w:rFonts w:ascii="Arial" w:hAnsi="Arial" w:cs="Arial"/>
          <w:sz w:val="21"/>
          <w:szCs w:val="21"/>
          <w:lang w:val="id-ID"/>
        </w:rPr>
      </w:pPr>
      <w:r>
        <w:rPr>
          <w:rFonts w:ascii="Arial" w:hAnsi="Arial" w:cs="Arial"/>
          <w:bCs/>
          <w:sz w:val="21"/>
          <w:szCs w:val="21"/>
          <w:lang w:eastAsia="en-GB"/>
        </w:rPr>
        <w:t>namun Pendapatan tidak termasuk hasil dari setiap Utang Keuangan, Ekuitas (atau jumlah-jumlah yang diterima atau diproyeksikan akan diterima sesuai dengan penanggungan atau asuransi lain sehubungan dengan Utang Keuangan atau Ekuitas) atau Kompensasi</w:t>
      </w:r>
      <w:r>
        <w:rPr>
          <w:rFonts w:ascii="Arial" w:hAnsi="Arial" w:cs="Arial"/>
          <w:sz w:val="21"/>
          <w:szCs w:val="21"/>
          <w:lang w:val="id-ID"/>
        </w:rPr>
        <w:t>.</w:t>
      </w:r>
    </w:p>
    <w:p>
      <w:pPr>
        <w:pStyle w:val="82"/>
        <w:numPr>
          <w:ilvl w:val="0"/>
          <w:numId w:val="0"/>
        </w:numPr>
        <w:spacing w:after="120"/>
        <w:rPr>
          <w:rFonts w:ascii="Arial" w:hAnsi="Arial" w:cs="Arial"/>
          <w:sz w:val="21"/>
          <w:szCs w:val="21"/>
          <w:lang w:val="id-ID"/>
        </w:rPr>
      </w:pPr>
      <w:bookmarkStart w:id="284" w:name="_Toc74860726"/>
      <w:bookmarkStart w:id="285" w:name="_Toc74557580"/>
      <w:r>
        <w:rPr>
          <w:rFonts w:ascii="Arial" w:hAnsi="Arial" w:cs="Arial"/>
          <w:caps w:val="0"/>
          <w:sz w:val="21"/>
          <w:szCs w:val="21"/>
          <w:lang w:val="id-ID"/>
        </w:rPr>
        <w:t>Lampiran 2</w:t>
      </w:r>
      <w:r>
        <w:rPr>
          <w:rFonts w:ascii="Arial" w:hAnsi="Arial" w:cs="Arial"/>
          <w:sz w:val="21"/>
          <w:szCs w:val="21"/>
          <w:lang w:val="id-ID"/>
        </w:rPr>
        <w:br w:type="textWrapping"/>
      </w:r>
      <w:r>
        <w:rPr>
          <w:rFonts w:ascii="Arial" w:hAnsi="Arial" w:cs="Arial"/>
          <w:sz w:val="21"/>
          <w:szCs w:val="21"/>
          <w:lang w:val="id-ID"/>
        </w:rPr>
        <w:br w:type="textWrapping"/>
      </w:r>
      <w:r>
        <w:rPr>
          <w:rFonts w:ascii="Arial" w:hAnsi="Arial" w:cs="Arial"/>
          <w:sz w:val="21"/>
          <w:szCs w:val="21"/>
          <w:lang w:val="id-ID"/>
        </w:rPr>
        <w:t>RINCIAN BIAYA-BIAYA PROYEK</w:t>
      </w:r>
      <w:bookmarkEnd w:id="284"/>
      <w:bookmarkEnd w:id="285"/>
    </w:p>
    <w:p>
      <w:pPr>
        <w:pStyle w:val="59"/>
        <w:keepNext/>
        <w:spacing w:after="120"/>
        <w:rPr>
          <w:rFonts w:ascii="Arial" w:hAnsi="Arial" w:cs="Arial"/>
          <w:b/>
          <w:bCs/>
          <w:sz w:val="21"/>
          <w:szCs w:val="21"/>
          <w:lang w:val="id-ID"/>
        </w:rPr>
      </w:pPr>
      <w:r>
        <w:rPr>
          <w:rFonts w:ascii="Arial" w:hAnsi="Arial" w:cs="Arial"/>
          <w:b/>
          <w:bCs/>
          <w:sz w:val="21"/>
          <w:szCs w:val="21"/>
          <w:lang w:val="id-ID"/>
        </w:rPr>
        <w:t>Rincian:</w:t>
      </w:r>
    </w:p>
    <w:p>
      <w:pPr>
        <w:pStyle w:val="57"/>
        <w:numPr>
          <w:ilvl w:val="1"/>
          <w:numId w:val="48"/>
        </w:numPr>
        <w:spacing w:after="120"/>
        <w:rPr>
          <w:rFonts w:ascii="Arial" w:hAnsi="Arial" w:cs="Arial"/>
          <w:sz w:val="21"/>
          <w:szCs w:val="21"/>
          <w:lang w:val="id-ID"/>
        </w:rPr>
      </w:pPr>
      <w:r>
        <w:rPr>
          <w:rFonts w:ascii="Arial" w:hAnsi="Arial" w:cs="Arial"/>
          <w:sz w:val="21"/>
          <w:szCs w:val="21"/>
          <w:lang w:val="id-ID"/>
        </w:rPr>
        <w:t>Biaya</w:t>
      </w:r>
      <w:r>
        <w:rPr>
          <w:rFonts w:ascii="Arial" w:hAnsi="Arial" w:cs="Arial"/>
          <w:sz w:val="21"/>
          <w:szCs w:val="21"/>
          <w:lang w:val="en-US"/>
        </w:rPr>
        <w:t>-biaya</w:t>
      </w:r>
      <w:r>
        <w:rPr>
          <w:rFonts w:ascii="Arial" w:hAnsi="Arial" w:cs="Arial"/>
          <w:sz w:val="21"/>
          <w:szCs w:val="21"/>
          <w:lang w:val="id-ID"/>
        </w:rPr>
        <w:t xml:space="preserve"> </w:t>
      </w:r>
      <w:r>
        <w:rPr>
          <w:rFonts w:ascii="Arial" w:hAnsi="Arial" w:cs="Arial"/>
          <w:sz w:val="21"/>
          <w:szCs w:val="21"/>
          <w:lang w:val="en-US"/>
        </w:rPr>
        <w:t>Terdahulu</w:t>
      </w:r>
      <w:r>
        <w:rPr>
          <w:rFonts w:ascii="Arial" w:hAnsi="Arial" w:cs="Arial"/>
          <w:sz w:val="21"/>
          <w:szCs w:val="21"/>
          <w:lang w:val="id-ID"/>
        </w:rPr>
        <w:t>/Biaya</w:t>
      </w:r>
      <w:r>
        <w:rPr>
          <w:rFonts w:ascii="Arial" w:hAnsi="Arial" w:cs="Arial"/>
          <w:sz w:val="21"/>
          <w:szCs w:val="21"/>
          <w:lang w:val="en-US"/>
        </w:rPr>
        <w:t>-biaya</w:t>
      </w:r>
      <w:r>
        <w:rPr>
          <w:rFonts w:ascii="Arial" w:hAnsi="Arial" w:cs="Arial"/>
          <w:sz w:val="21"/>
          <w:szCs w:val="21"/>
          <w:lang w:val="id-ID"/>
        </w:rPr>
        <w:t xml:space="preserve"> pengembangan</w:t>
      </w:r>
      <w:r>
        <w:rPr>
          <w:rStyle w:val="25"/>
          <w:rFonts w:ascii="Arial" w:hAnsi="Arial" w:cs="Arial"/>
          <w:sz w:val="21"/>
          <w:szCs w:val="21"/>
          <w:lang w:val="id-ID"/>
        </w:rPr>
        <w:footnoteReference w:id="192"/>
      </w:r>
      <w:r>
        <w:rPr>
          <w:rFonts w:ascii="Arial" w:hAnsi="Arial" w:cs="Arial"/>
          <w:sz w:val="21"/>
          <w:szCs w:val="21"/>
          <w:lang w:val="id-ID"/>
        </w:rPr>
        <w:t>: [</w:t>
      </w:r>
      <w:bookmarkStart w:id="286" w:name="_9kMM5H6ZWu9A67EI"/>
      <w:bookmarkStart w:id="287" w:name="_9kMM5F7ZVw9A67AB"/>
      <w:r>
        <w:rPr>
          <w:rFonts w:ascii="Arial" w:hAnsi="Arial" w:cs="Arial"/>
          <w:sz w:val="21"/>
          <w:szCs w:val="21"/>
          <w:lang w:val="id-ID"/>
        </w:rPr>
        <w:t>•</w:t>
      </w:r>
      <w:bookmarkEnd w:id="286"/>
      <w:bookmarkEnd w:id="287"/>
      <w:r>
        <w:rPr>
          <w:rFonts w:ascii="Arial" w:hAnsi="Arial" w:cs="Arial"/>
          <w:sz w:val="21"/>
          <w:szCs w:val="21"/>
          <w:lang w:val="id-ID"/>
        </w:rPr>
        <w:t>]</w:t>
      </w:r>
    </w:p>
    <w:p>
      <w:pPr>
        <w:pStyle w:val="57"/>
        <w:spacing w:after="120"/>
        <w:rPr>
          <w:rFonts w:ascii="Arial" w:hAnsi="Arial" w:cs="Arial"/>
          <w:sz w:val="21"/>
          <w:szCs w:val="21"/>
          <w:lang w:val="id-ID"/>
        </w:rPr>
      </w:pPr>
      <w:r>
        <w:rPr>
          <w:rFonts w:ascii="Arial" w:hAnsi="Arial" w:cs="Arial"/>
          <w:sz w:val="21"/>
          <w:szCs w:val="21"/>
          <w:lang w:val="id-ID"/>
        </w:rPr>
        <w:t>Pengeluaran modal/Biaya</w:t>
      </w:r>
      <w:r>
        <w:rPr>
          <w:rFonts w:ascii="Arial" w:hAnsi="Arial" w:cs="Arial"/>
          <w:sz w:val="21"/>
          <w:szCs w:val="21"/>
          <w:lang w:val="en-US"/>
        </w:rPr>
        <w:t>-biaya</w:t>
      </w:r>
      <w:r>
        <w:rPr>
          <w:rFonts w:ascii="Arial" w:hAnsi="Arial" w:cs="Arial"/>
          <w:sz w:val="21"/>
          <w:szCs w:val="21"/>
          <w:lang w:val="id-ID"/>
        </w:rPr>
        <w:t xml:space="preserve"> konstruksi: [</w:t>
      </w:r>
      <w:bookmarkStart w:id="288" w:name="_9kMM6I6ZWu9A67EI"/>
      <w:bookmarkStart w:id="289" w:name="_9kMM6G7ZVw9A67AB"/>
      <w:r>
        <w:rPr>
          <w:rFonts w:ascii="Arial" w:hAnsi="Arial" w:cs="Arial"/>
          <w:sz w:val="21"/>
          <w:szCs w:val="21"/>
          <w:lang w:val="id-ID"/>
        </w:rPr>
        <w:t>•</w:t>
      </w:r>
      <w:bookmarkEnd w:id="288"/>
      <w:bookmarkEnd w:id="289"/>
      <w:r>
        <w:rPr>
          <w:rFonts w:ascii="Arial" w:hAnsi="Arial" w:cs="Arial"/>
          <w:sz w:val="21"/>
          <w:szCs w:val="21"/>
          <w:lang w:val="id-ID"/>
        </w:rPr>
        <w:t>]</w:t>
      </w:r>
    </w:p>
    <w:p>
      <w:pPr>
        <w:pStyle w:val="57"/>
        <w:spacing w:after="120"/>
        <w:rPr>
          <w:rFonts w:ascii="Arial" w:hAnsi="Arial" w:cs="Arial"/>
          <w:sz w:val="21"/>
          <w:szCs w:val="21"/>
          <w:lang w:val="id-ID"/>
        </w:rPr>
      </w:pPr>
      <w:r>
        <w:rPr>
          <w:rFonts w:ascii="Arial" w:hAnsi="Arial" w:cs="Arial"/>
          <w:sz w:val="21"/>
          <w:szCs w:val="21"/>
          <w:lang w:val="id-ID"/>
        </w:rPr>
        <w:t>Kontinjensi</w:t>
      </w:r>
      <w:r>
        <w:rPr>
          <w:rStyle w:val="25"/>
          <w:rFonts w:ascii="Arial" w:hAnsi="Arial" w:cs="Arial"/>
          <w:sz w:val="21"/>
          <w:szCs w:val="21"/>
          <w:lang w:val="id-ID"/>
        </w:rPr>
        <w:footnoteReference w:id="193"/>
      </w:r>
      <w:r>
        <w:rPr>
          <w:rFonts w:ascii="Arial" w:hAnsi="Arial" w:cs="Arial"/>
          <w:sz w:val="21"/>
          <w:szCs w:val="21"/>
          <w:lang w:val="id-ID"/>
        </w:rPr>
        <w:t>: [</w:t>
      </w:r>
      <w:bookmarkStart w:id="290" w:name="_9kMM7H7ZVw9A67AB"/>
      <w:bookmarkStart w:id="291" w:name="_9kMM7J6ZWu9A67EI"/>
      <w:r>
        <w:rPr>
          <w:rFonts w:ascii="Arial" w:hAnsi="Arial" w:cs="Arial"/>
          <w:sz w:val="21"/>
          <w:szCs w:val="21"/>
          <w:lang w:val="id-ID"/>
        </w:rPr>
        <w:t>•</w:t>
      </w:r>
      <w:bookmarkEnd w:id="290"/>
      <w:bookmarkEnd w:id="291"/>
      <w:r>
        <w:rPr>
          <w:rFonts w:ascii="Arial" w:hAnsi="Arial" w:cs="Arial"/>
          <w:sz w:val="21"/>
          <w:szCs w:val="21"/>
          <w:lang w:val="id-ID"/>
        </w:rPr>
        <w:t>]</w:t>
      </w:r>
    </w:p>
    <w:p>
      <w:pPr>
        <w:pStyle w:val="57"/>
        <w:spacing w:after="120"/>
        <w:rPr>
          <w:rFonts w:ascii="Arial" w:hAnsi="Arial" w:cs="Arial"/>
          <w:sz w:val="21"/>
          <w:szCs w:val="21"/>
          <w:lang w:val="id-ID"/>
        </w:rPr>
      </w:pPr>
      <w:r>
        <w:rPr>
          <w:rFonts w:ascii="Arial" w:hAnsi="Arial" w:cs="Arial"/>
          <w:sz w:val="21"/>
          <w:szCs w:val="21"/>
          <w:lang w:val="id-ID"/>
        </w:rPr>
        <w:t>Biaya</w:t>
      </w:r>
      <w:r>
        <w:rPr>
          <w:rFonts w:ascii="Arial" w:hAnsi="Arial" w:cs="Arial"/>
          <w:sz w:val="21"/>
          <w:szCs w:val="21"/>
          <w:lang w:val="en-US"/>
        </w:rPr>
        <w:t>-biaya</w:t>
      </w:r>
      <w:r>
        <w:rPr>
          <w:rFonts w:ascii="Arial" w:hAnsi="Arial" w:cs="Arial"/>
          <w:sz w:val="21"/>
          <w:szCs w:val="21"/>
          <w:lang w:val="id-ID"/>
        </w:rPr>
        <w:t xml:space="preserve"> pembiayaan</w:t>
      </w:r>
      <w:r>
        <w:rPr>
          <w:rStyle w:val="25"/>
          <w:rFonts w:ascii="Arial" w:hAnsi="Arial" w:cs="Arial"/>
          <w:sz w:val="21"/>
          <w:szCs w:val="21"/>
          <w:lang w:val="id-ID"/>
        </w:rPr>
        <w:footnoteReference w:id="194"/>
      </w:r>
      <w:r>
        <w:rPr>
          <w:rFonts w:ascii="Arial" w:hAnsi="Arial" w:cs="Arial"/>
          <w:sz w:val="21"/>
          <w:szCs w:val="21"/>
          <w:lang w:val="id-ID"/>
        </w:rPr>
        <w:t xml:space="preserve"> (yaitu biaya</w:t>
      </w:r>
      <w:r>
        <w:rPr>
          <w:rFonts w:ascii="Arial" w:hAnsi="Arial" w:cs="Arial"/>
          <w:sz w:val="21"/>
          <w:szCs w:val="21"/>
          <w:lang w:val="en-US"/>
        </w:rPr>
        <w:t>-</w:t>
      </w:r>
      <w:r>
        <w:rPr>
          <w:rFonts w:ascii="Arial" w:hAnsi="Arial" w:cs="Arial"/>
          <w:sz w:val="21"/>
          <w:szCs w:val="21"/>
          <w:lang w:val="id-ID"/>
        </w:rPr>
        <w:t xml:space="preserve">biaya dan </w:t>
      </w:r>
      <w:r>
        <w:rPr>
          <w:rFonts w:ascii="Arial" w:hAnsi="Arial" w:cs="Arial"/>
          <w:sz w:val="21"/>
          <w:szCs w:val="21"/>
          <w:lang w:val="en-US"/>
        </w:rPr>
        <w:t>imbalan-imbalan</w:t>
      </w:r>
      <w:r>
        <w:rPr>
          <w:rFonts w:ascii="Arial" w:hAnsi="Arial" w:cs="Arial"/>
          <w:sz w:val="21"/>
          <w:szCs w:val="21"/>
          <w:lang w:val="id-ID"/>
        </w:rPr>
        <w:t>/pengeluaran</w:t>
      </w:r>
      <w:r>
        <w:rPr>
          <w:rFonts w:ascii="Arial" w:hAnsi="Arial" w:cs="Arial"/>
          <w:sz w:val="21"/>
          <w:szCs w:val="21"/>
          <w:lang w:val="en-US"/>
        </w:rPr>
        <w:t>-</w:t>
      </w:r>
      <w:r>
        <w:rPr>
          <w:rFonts w:ascii="Arial" w:hAnsi="Arial" w:cs="Arial"/>
          <w:sz w:val="21"/>
          <w:szCs w:val="21"/>
          <w:lang w:val="id-ID"/>
        </w:rPr>
        <w:t xml:space="preserve">pengeluaran </w:t>
      </w:r>
      <w:r>
        <w:rPr>
          <w:rFonts w:ascii="Arial" w:hAnsi="Arial" w:cs="Arial"/>
          <w:sz w:val="21"/>
          <w:szCs w:val="21"/>
          <w:lang w:val="en-US"/>
        </w:rPr>
        <w:t xml:space="preserve">untuk </w:t>
      </w:r>
      <w:r>
        <w:rPr>
          <w:rFonts w:ascii="Arial" w:hAnsi="Arial" w:cs="Arial"/>
          <w:sz w:val="21"/>
          <w:szCs w:val="21"/>
          <w:lang w:val="id-ID"/>
        </w:rPr>
        <w:t>penasihat-penasihat dan Para Pihak Pembiayaan, biaya</w:t>
      </w:r>
      <w:r>
        <w:rPr>
          <w:rFonts w:ascii="Arial" w:hAnsi="Arial" w:cs="Arial"/>
          <w:sz w:val="21"/>
          <w:szCs w:val="21"/>
          <w:lang w:val="en-US"/>
        </w:rPr>
        <w:t>-</w:t>
      </w:r>
      <w:r>
        <w:rPr>
          <w:rFonts w:ascii="Arial" w:hAnsi="Arial" w:cs="Arial"/>
          <w:sz w:val="21"/>
          <w:szCs w:val="21"/>
          <w:lang w:val="id-ID"/>
        </w:rPr>
        <w:t>biaya membuat dan menandatangani perjanjian</w:t>
      </w:r>
      <w:r>
        <w:rPr>
          <w:rFonts w:ascii="Arial" w:hAnsi="Arial" w:cs="Arial"/>
          <w:sz w:val="21"/>
          <w:szCs w:val="21"/>
          <w:lang w:val="en-US"/>
        </w:rPr>
        <w:t>-</w:t>
      </w:r>
      <w:r>
        <w:rPr>
          <w:rFonts w:ascii="Arial" w:hAnsi="Arial" w:cs="Arial"/>
          <w:sz w:val="21"/>
          <w:szCs w:val="21"/>
          <w:lang w:val="id-ID"/>
        </w:rPr>
        <w:t>perjanjian lindung nilai)): [</w:t>
      </w:r>
      <w:bookmarkStart w:id="292" w:name="_9kMM8I7ZVw9A67AB"/>
      <w:bookmarkStart w:id="293" w:name="_9kMM8K6ZWu9A67EI"/>
      <w:r>
        <w:rPr>
          <w:rFonts w:ascii="Arial" w:hAnsi="Arial" w:cs="Arial"/>
          <w:sz w:val="21"/>
          <w:szCs w:val="21"/>
          <w:lang w:val="id-ID"/>
        </w:rPr>
        <w:t>•</w:t>
      </w:r>
      <w:bookmarkEnd w:id="292"/>
      <w:bookmarkEnd w:id="293"/>
      <w:r>
        <w:rPr>
          <w:rFonts w:ascii="Arial" w:hAnsi="Arial" w:cs="Arial"/>
          <w:sz w:val="21"/>
          <w:szCs w:val="21"/>
          <w:lang w:val="id-ID"/>
        </w:rPr>
        <w:t>]</w:t>
      </w:r>
    </w:p>
    <w:p>
      <w:pPr>
        <w:pStyle w:val="57"/>
        <w:spacing w:after="120"/>
        <w:rPr>
          <w:rFonts w:ascii="Arial" w:hAnsi="Arial" w:cs="Arial"/>
          <w:sz w:val="21"/>
          <w:szCs w:val="21"/>
          <w:lang w:val="id-ID"/>
        </w:rPr>
      </w:pPr>
      <w:r>
        <w:rPr>
          <w:rFonts w:ascii="Arial" w:hAnsi="Arial" w:cs="Arial"/>
          <w:sz w:val="21"/>
          <w:szCs w:val="21"/>
          <w:lang w:val="id-ID"/>
        </w:rPr>
        <w:t>Bunga selama konstruksi: [</w:t>
      </w:r>
      <w:bookmarkStart w:id="294" w:name="_9kMM9J7ZVw9A67AB"/>
      <w:bookmarkStart w:id="295" w:name="_9kMM9L6ZWu9A67EI"/>
      <w:r>
        <w:rPr>
          <w:rFonts w:ascii="Arial" w:hAnsi="Arial" w:cs="Arial"/>
          <w:sz w:val="21"/>
          <w:szCs w:val="21"/>
          <w:lang w:val="id-ID"/>
        </w:rPr>
        <w:t>•</w:t>
      </w:r>
      <w:bookmarkEnd w:id="294"/>
      <w:bookmarkEnd w:id="295"/>
      <w:r>
        <w:rPr>
          <w:rFonts w:ascii="Arial" w:hAnsi="Arial" w:cs="Arial"/>
          <w:sz w:val="21"/>
          <w:szCs w:val="21"/>
          <w:lang w:val="id-ID"/>
        </w:rPr>
        <w:t>]</w:t>
      </w:r>
    </w:p>
    <w:p>
      <w:pPr>
        <w:pStyle w:val="57"/>
        <w:spacing w:after="120"/>
        <w:rPr>
          <w:rFonts w:ascii="Arial" w:hAnsi="Arial" w:cs="Arial"/>
          <w:sz w:val="21"/>
          <w:szCs w:val="21"/>
          <w:lang w:val="id-ID"/>
        </w:rPr>
      </w:pPr>
      <w:r>
        <w:rPr>
          <w:rFonts w:ascii="Arial" w:hAnsi="Arial" w:cs="Arial"/>
          <w:sz w:val="21"/>
          <w:szCs w:val="21"/>
          <w:lang w:val="id-ID"/>
        </w:rPr>
        <w:t>Biaya</w:t>
      </w:r>
      <w:r>
        <w:rPr>
          <w:rFonts w:ascii="Arial" w:hAnsi="Arial" w:cs="Arial"/>
          <w:sz w:val="21"/>
          <w:szCs w:val="21"/>
          <w:lang w:val="en-US"/>
        </w:rPr>
        <w:t>-biaya</w:t>
      </w:r>
      <w:r>
        <w:rPr>
          <w:rFonts w:ascii="Arial" w:hAnsi="Arial" w:cs="Arial"/>
          <w:sz w:val="21"/>
          <w:szCs w:val="21"/>
          <w:lang w:val="id-ID"/>
        </w:rPr>
        <w:t xml:space="preserve"> lain (misalnya premi asuransi): [</w:t>
      </w:r>
      <w:bookmarkStart w:id="296" w:name="_9kMMAK7ZVw9A67AB"/>
      <w:bookmarkStart w:id="297" w:name="_9kMMAM6ZWu9A67EI"/>
      <w:r>
        <w:rPr>
          <w:rFonts w:ascii="Arial" w:hAnsi="Arial" w:cs="Arial"/>
          <w:sz w:val="21"/>
          <w:szCs w:val="21"/>
          <w:lang w:val="id-ID"/>
        </w:rPr>
        <w:t>•</w:t>
      </w:r>
      <w:bookmarkEnd w:id="296"/>
      <w:bookmarkEnd w:id="297"/>
      <w:r>
        <w:rPr>
          <w:rFonts w:ascii="Arial" w:hAnsi="Arial" w:cs="Arial"/>
          <w:sz w:val="21"/>
          <w:szCs w:val="21"/>
          <w:lang w:val="id-ID"/>
        </w:rPr>
        <w:t>]</w:t>
      </w:r>
    </w:p>
    <w:p>
      <w:pPr>
        <w:pStyle w:val="57"/>
        <w:spacing w:after="120"/>
        <w:rPr>
          <w:rFonts w:ascii="Arial" w:hAnsi="Arial" w:cs="Arial"/>
          <w:sz w:val="21"/>
          <w:szCs w:val="21"/>
          <w:lang w:val="id-ID"/>
        </w:rPr>
      </w:pPr>
      <w:r>
        <w:rPr>
          <w:rFonts w:ascii="Arial" w:hAnsi="Arial" w:cs="Arial"/>
          <w:sz w:val="21"/>
          <w:szCs w:val="21"/>
          <w:lang w:val="id-ID"/>
        </w:rPr>
        <w:t>[Pendanaan awal [</w:t>
      </w:r>
      <w:r>
        <w:rPr>
          <w:rFonts w:ascii="Arial" w:hAnsi="Arial" w:cs="Arial"/>
          <w:i/>
          <w:iCs/>
          <w:sz w:val="21"/>
          <w:szCs w:val="21"/>
          <w:lang w:val="en-US"/>
        </w:rPr>
        <w:t>Debt Service Reserve Account</w:t>
      </w:r>
      <w:r>
        <w:rPr>
          <w:rFonts w:ascii="Arial" w:hAnsi="Arial" w:cs="Arial"/>
          <w:sz w:val="21"/>
          <w:szCs w:val="21"/>
          <w:lang w:val="id-ID"/>
        </w:rPr>
        <w:t>]/[</w:t>
      </w:r>
      <w:r>
        <w:rPr>
          <w:rFonts w:ascii="Arial" w:hAnsi="Arial" w:cs="Arial"/>
          <w:i/>
          <w:iCs/>
          <w:sz w:val="21"/>
          <w:szCs w:val="21"/>
          <w:lang w:val="en-US"/>
        </w:rPr>
        <w:t>Maintenance Reserve Account</w:t>
      </w:r>
      <w:r>
        <w:rPr>
          <w:rFonts w:ascii="Arial" w:hAnsi="Arial" w:cs="Arial"/>
          <w:sz w:val="21"/>
          <w:szCs w:val="21"/>
          <w:lang w:val="id-ID"/>
        </w:rPr>
        <w:t>]: [</w:t>
      </w:r>
      <w:bookmarkStart w:id="298" w:name="_9kMMBN6ZWu9A67EI"/>
      <w:bookmarkStart w:id="299" w:name="_9kMMBL7ZVw9A67AB"/>
      <w:r>
        <w:rPr>
          <w:rFonts w:ascii="Arial" w:hAnsi="Arial" w:cs="Arial"/>
          <w:sz w:val="21"/>
          <w:szCs w:val="21"/>
          <w:lang w:val="id-ID"/>
        </w:rPr>
        <w:t>•</w:t>
      </w:r>
      <w:bookmarkEnd w:id="298"/>
      <w:bookmarkEnd w:id="299"/>
      <w:r>
        <w:rPr>
          <w:rFonts w:ascii="Arial" w:hAnsi="Arial" w:cs="Arial"/>
          <w:sz w:val="21"/>
          <w:szCs w:val="21"/>
          <w:lang w:val="id-ID"/>
        </w:rPr>
        <w:t>]]</w:t>
      </w:r>
      <w:r>
        <w:rPr>
          <w:rStyle w:val="25"/>
          <w:rFonts w:ascii="Arial" w:hAnsi="Arial" w:cs="Arial"/>
          <w:sz w:val="21"/>
          <w:szCs w:val="21"/>
          <w:lang w:val="id-ID"/>
        </w:rPr>
        <w:footnoteReference w:id="195"/>
      </w:r>
    </w:p>
    <w:p>
      <w:pPr>
        <w:pStyle w:val="57"/>
        <w:spacing w:after="120"/>
        <w:rPr>
          <w:rFonts w:ascii="Arial" w:hAnsi="Arial" w:cs="Arial"/>
          <w:sz w:val="21"/>
          <w:szCs w:val="21"/>
          <w:lang w:val="id-ID"/>
        </w:rPr>
      </w:pPr>
      <w:r>
        <w:rPr>
          <w:rFonts w:ascii="Arial" w:hAnsi="Arial" w:cs="Arial"/>
          <w:sz w:val="21"/>
          <w:szCs w:val="21"/>
          <w:lang w:val="id-ID"/>
        </w:rPr>
        <w:t>Modal kerja (masa konstruksi): [</w:t>
      </w:r>
      <w:bookmarkStart w:id="300" w:name="_9kMMCO6ZWu9A67EI"/>
      <w:bookmarkStart w:id="301" w:name="_9kMMCM7ZVw9A67AB"/>
      <w:r>
        <w:rPr>
          <w:rFonts w:ascii="Arial" w:hAnsi="Arial" w:cs="Arial"/>
          <w:sz w:val="21"/>
          <w:szCs w:val="21"/>
          <w:lang w:val="id-ID"/>
        </w:rPr>
        <w:t>•</w:t>
      </w:r>
      <w:bookmarkEnd w:id="300"/>
      <w:bookmarkEnd w:id="301"/>
      <w:r>
        <w:rPr>
          <w:rFonts w:ascii="Arial" w:hAnsi="Arial" w:cs="Arial"/>
          <w:sz w:val="21"/>
          <w:szCs w:val="21"/>
          <w:lang w:val="id-ID"/>
        </w:rPr>
        <w:t>]</w:t>
      </w:r>
    </w:p>
    <w:p>
      <w:pPr>
        <w:pStyle w:val="82"/>
        <w:numPr>
          <w:ilvl w:val="0"/>
          <w:numId w:val="0"/>
        </w:numPr>
        <w:spacing w:after="120"/>
        <w:rPr>
          <w:rFonts w:ascii="Arial" w:hAnsi="Arial" w:cs="Arial"/>
          <w:sz w:val="21"/>
          <w:szCs w:val="21"/>
          <w:lang w:val="id-ID"/>
        </w:rPr>
      </w:pPr>
      <w:bookmarkStart w:id="302" w:name="_Ref526527200"/>
      <w:bookmarkStart w:id="303" w:name="_Toc531174321"/>
      <w:bookmarkStart w:id="304" w:name="_Toc74557581"/>
      <w:bookmarkStart w:id="305" w:name="_Toc74860727"/>
      <w:r>
        <w:rPr>
          <w:rFonts w:ascii="Arial" w:hAnsi="Arial" w:cs="Arial"/>
          <w:caps w:val="0"/>
          <w:sz w:val="21"/>
          <w:szCs w:val="21"/>
          <w:lang w:val="id-ID"/>
        </w:rPr>
        <w:t>Lampiran 3</w:t>
      </w:r>
      <w:r>
        <w:rPr>
          <w:rFonts w:ascii="Arial" w:hAnsi="Arial" w:cs="Arial"/>
          <w:sz w:val="21"/>
          <w:szCs w:val="21"/>
          <w:lang w:val="id-ID"/>
        </w:rPr>
        <w:br w:type="textWrapping"/>
      </w:r>
      <w:r>
        <w:rPr>
          <w:rFonts w:ascii="Arial" w:hAnsi="Arial" w:cs="Arial"/>
          <w:sz w:val="21"/>
          <w:szCs w:val="21"/>
          <w:lang w:val="id-ID"/>
        </w:rPr>
        <w:br w:type="textWrapping"/>
      </w:r>
      <w:bookmarkEnd w:id="273"/>
      <w:bookmarkEnd w:id="302"/>
      <w:bookmarkEnd w:id="303"/>
      <w:r>
        <w:rPr>
          <w:rFonts w:ascii="Arial" w:hAnsi="Arial" w:cs="Arial"/>
          <w:sz w:val="21"/>
          <w:szCs w:val="21"/>
          <w:lang w:val="id-ID"/>
        </w:rPr>
        <w:t>STRUKTUR PEMEGANG SAHAM</w:t>
      </w:r>
      <w:r>
        <w:rPr>
          <w:rStyle w:val="25"/>
          <w:rFonts w:ascii="Arial" w:hAnsi="Arial" w:cs="Arial"/>
          <w:sz w:val="21"/>
          <w:szCs w:val="21"/>
          <w:lang w:val="id-ID"/>
        </w:rPr>
        <w:footnoteReference w:id="196"/>
      </w:r>
      <w:bookmarkEnd w:id="304"/>
      <w:bookmarkEnd w:id="305"/>
    </w:p>
    <w:p>
      <w:pPr>
        <w:widowControl w:val="0"/>
        <w:spacing w:after="120"/>
        <w:rPr>
          <w:rFonts w:ascii="Arial" w:hAnsi="Arial" w:cs="Arial"/>
          <w:sz w:val="21"/>
          <w:szCs w:val="21"/>
          <w:lang w:val="id-ID"/>
        </w:rPr>
      </w:pPr>
    </w:p>
    <w:p>
      <w:pPr>
        <w:widowControl w:val="0"/>
        <w:spacing w:after="120"/>
        <w:rPr>
          <w:rFonts w:ascii="Arial" w:hAnsi="Arial" w:cs="Arial"/>
          <w:sz w:val="21"/>
          <w:szCs w:val="21"/>
          <w:lang w:val="id-ID"/>
        </w:rPr>
      </w:pPr>
      <w:bookmarkStart w:id="306" w:name="_Toc501649503"/>
      <w:bookmarkStart w:id="307" w:name="_Toc526526966"/>
      <w:bookmarkStart w:id="308" w:name="_Toc525499841"/>
      <w:bookmarkStart w:id="309" w:name="_Toc526527173"/>
      <w:bookmarkStart w:id="310" w:name="_Toc525216640"/>
      <w:bookmarkStart w:id="311" w:name="_Toc529956817"/>
      <w:bookmarkStart w:id="312" w:name="_Toc526845266"/>
      <w:bookmarkStart w:id="313" w:name="_Toc501649523"/>
      <w:bookmarkStart w:id="314" w:name="_Toc525301090"/>
      <w:bookmarkStart w:id="315" w:name="_Toc525301181"/>
      <w:bookmarkStart w:id="316" w:name="_Toc526327659"/>
      <w:bookmarkStart w:id="317" w:name="_Toc531174322"/>
      <w:bookmarkStart w:id="318" w:name="_Toc525317190"/>
      <w:bookmarkStart w:id="319" w:name="_Toc526527195"/>
      <w:bookmarkStart w:id="320" w:name="_Toc525499945"/>
      <w:r>
        <w:rPr>
          <w:rFonts w:ascii="Arial" w:hAnsi="Arial" w:eastAsia="Times New Roman" w:cs="Arial"/>
          <w:b/>
          <w:sz w:val="21"/>
          <w:szCs w:val="21"/>
          <w:lang w:val="id-ID"/>
        </w:rPr>
        <mc:AlternateContent>
          <mc:Choice Requires="wps">
            <w:drawing>
              <wp:anchor distT="0" distB="0" distL="114300" distR="114300" simplePos="0" relativeHeight="251668480" behindDoc="0" locked="0" layoutInCell="1" allowOverlap="1">
                <wp:simplePos x="0" y="0"/>
                <wp:positionH relativeFrom="column">
                  <wp:posOffset>2952750</wp:posOffset>
                </wp:positionH>
                <wp:positionV relativeFrom="paragraph">
                  <wp:posOffset>4090035</wp:posOffset>
                </wp:positionV>
                <wp:extent cx="0" cy="733425"/>
                <wp:effectExtent l="38100" t="0" r="38100" b="9525"/>
                <wp:wrapNone/>
                <wp:docPr id="10" name="Straight Arrow Connector 10"/>
                <wp:cNvGraphicFramePr/>
                <a:graphic xmlns:a="http://schemas.openxmlformats.org/drawingml/2006/main">
                  <a:graphicData uri="http://schemas.microsoft.com/office/word/2010/wordprocessingShape">
                    <wps:wsp>
                      <wps:cNvCnPr/>
                      <wps:spPr>
                        <a:xfrm>
                          <a:off x="0" y="0"/>
                          <a:ext cx="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2.5pt;margin-top:322.05pt;height:57.75pt;width:0pt;z-index:251668480;mso-width-relative:page;mso-height-relative:page;" filled="f" stroked="t" coordsize="21600,21600" o:gfxdata="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ifiwdoAAAALAQAADwAAAAAAAAABACAAAAAiAAAAZHJzL2Rvd25yZXYueG1s&#10;UEsBAhQAFAAAAAgAh07iQEQF8cv2AQAABwQAAA4AAAAAAAAAAQAgAAAAKQEAAGRycy9lMm9Eb2Mu&#10;eG1sUEsFBgAAAAAGAAYAWQEAAJEFAAAAAA==&#10;">
                <v:fill on="f" focussize="0,0"/>
                <v:stroke color="#000000 [3200]" joinstyle="round" endarrow="block"/>
                <v:imagedata o:title=""/>
                <o:lock v:ext="edit" aspectratio="f"/>
              </v:shape>
            </w:pict>
          </mc:Fallback>
        </mc:AlternateContent>
      </w:r>
      <w:r>
        <w:rPr>
          <w:rFonts w:ascii="Arial" w:hAnsi="Arial" w:eastAsia="Times New Roman" w:cs="Arial"/>
          <w:b/>
          <w:sz w:val="21"/>
          <w:szCs w:val="21"/>
          <w:lang w:val="id-ID"/>
        </w:rPr>
        <mc:AlternateContent>
          <mc:Choice Requires="wps">
            <w:drawing>
              <wp:anchor distT="45720" distB="45720" distL="114300" distR="114300" simplePos="0" relativeHeight="251665408" behindDoc="0" locked="0" layoutInCell="1" allowOverlap="1">
                <wp:simplePos x="0" y="0"/>
                <wp:positionH relativeFrom="column">
                  <wp:posOffset>3876040</wp:posOffset>
                </wp:positionH>
                <wp:positionV relativeFrom="paragraph">
                  <wp:posOffset>2232025</wp:posOffset>
                </wp:positionV>
                <wp:extent cx="638175" cy="1850390"/>
                <wp:effectExtent l="0" t="0" r="0" b="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8175" cy="1850644"/>
                        </a:xfrm>
                        <a:prstGeom prst="rect">
                          <a:avLst/>
                        </a:prstGeom>
                        <a:noFill/>
                        <a:ln w="9525">
                          <a:noFill/>
                          <a:miter lim="800000"/>
                        </a:ln>
                      </wps:spPr>
                      <wps:txbx>
                        <w:txbxContent>
                          <w:p>
                            <w:pPr>
                              <w:rPr>
                                <w:rFonts w:ascii="Arial" w:hAnsi="Arial" w:cs="Arial"/>
                                <w:sz w:val="21"/>
                                <w:szCs w:val="21"/>
                              </w:rPr>
                            </w:pPr>
                            <w:r>
                              <w:rPr>
                                <w:rFonts w:ascii="Arial" w:hAnsi="Arial" w:cs="Arial"/>
                                <w:sz w:val="21"/>
                                <w:szCs w:val="21"/>
                              </w:rPr>
                              <w:t>[•]%</w:t>
                            </w:r>
                          </w:p>
                        </w:txbxContent>
                      </wps:txbx>
                      <wps:bodyPr rot="0" vert="horz" wrap="square"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05.2pt;margin-top:175.75pt;height:145.7pt;width:50.25pt;mso-wrap-distance-bottom:3.6pt;mso-wrap-distance-left:9pt;mso-wrap-distance-right:9pt;mso-wrap-distance-top:3.6pt;z-index:251665408;mso-width-relative:page;mso-height-relative:margin;mso-height-percent:200;" filled="f" stroked="f" coordsize="21600,21600" o:gfxdata="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Ct3R2AAAAAsBAAAPAAAAAAAAAAEAIAAAACIAAABkcnMvZG93bnJl&#10;di54bWxQSwECFAAUAAAACACHTuJAmYrmd/0BAAD0AwAADgAAAAAAAAABACAAAAAnAQAAZHJzL2Uy&#10;b0RvYy54bWxQSwUGAAAAAAYABgBZAQAAlgUAAAAA&#10;">
                <v:fill on="f" focussize="0,0"/>
                <v:stroke on="f" miterlimit="8" joinstyle="miter"/>
                <v:imagedata o:title=""/>
                <o:lock v:ext="edit" aspectratio="f"/>
                <v:textbox style="mso-fit-shape-to-text:t;">
                  <w:txbxContent>
                    <w:p>
                      <w:pPr>
                        <w:rPr>
                          <w:rFonts w:ascii="Arial" w:hAnsi="Arial" w:cs="Arial"/>
                          <w:sz w:val="21"/>
                          <w:szCs w:val="21"/>
                        </w:rPr>
                      </w:pPr>
                      <w:r>
                        <w:rPr>
                          <w:rFonts w:ascii="Arial" w:hAnsi="Arial" w:cs="Arial"/>
                          <w:sz w:val="21"/>
                          <w:szCs w:val="21"/>
                        </w:rPr>
                        <w:t>[•]%</w:t>
                      </w:r>
                    </w:p>
                  </w:txbxContent>
                </v:textbox>
                <w10:wrap type="square"/>
              </v:shape>
            </w:pict>
          </mc:Fallback>
        </mc:AlternateContent>
      </w:r>
      <w:r>
        <w:rPr>
          <w:rFonts w:ascii="Arial" w:hAnsi="Arial" w:eastAsia="Times New Roman" w:cs="Arial"/>
          <w:b/>
          <w:sz w:val="21"/>
          <w:szCs w:val="21"/>
          <w:lang w:val="id-ID"/>
        </w:rPr>
        <mc:AlternateContent>
          <mc:Choice Requires="wps">
            <w:drawing>
              <wp:anchor distT="45720" distB="45720" distL="114300" distR="114300" simplePos="0" relativeHeight="251664384" behindDoc="0" locked="0" layoutInCell="1" allowOverlap="1">
                <wp:simplePos x="0" y="0"/>
                <wp:positionH relativeFrom="column">
                  <wp:posOffset>771525</wp:posOffset>
                </wp:positionH>
                <wp:positionV relativeFrom="paragraph">
                  <wp:posOffset>2223135</wp:posOffset>
                </wp:positionV>
                <wp:extent cx="638175" cy="185039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8175" cy="1850644"/>
                        </a:xfrm>
                        <a:prstGeom prst="rect">
                          <a:avLst/>
                        </a:prstGeom>
                        <a:noFill/>
                        <a:ln w="9525">
                          <a:noFill/>
                          <a:miter lim="800000"/>
                        </a:ln>
                      </wps:spPr>
                      <wps:txbx>
                        <w:txbxContent>
                          <w:p>
                            <w:pPr>
                              <w:rPr>
                                <w:rFonts w:ascii="Arial" w:hAnsi="Arial" w:cs="Arial"/>
                                <w:sz w:val="21"/>
                                <w:szCs w:val="21"/>
                              </w:rPr>
                            </w:pPr>
                            <w:r>
                              <w:rPr>
                                <w:rFonts w:ascii="Arial" w:hAnsi="Arial" w:cs="Arial"/>
                                <w:sz w:val="21"/>
                                <w:szCs w:val="21"/>
                              </w:rPr>
                              <w:t>[•]%</w:t>
                            </w:r>
                          </w:p>
                        </w:txbxContent>
                      </wps:txbx>
                      <wps:bodyPr rot="0" vert="horz" wrap="square"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60.75pt;margin-top:175.05pt;height:145.7pt;width:50.25pt;mso-wrap-distance-bottom:3.6pt;mso-wrap-distance-left:9pt;mso-wrap-distance-right:9pt;mso-wrap-distance-top:3.6pt;z-index:251664384;mso-width-relative:page;mso-height-relative:margin;mso-height-percent:200;" filled="f" stroked="f" coordsize="21600,21600" o:gfxdata="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FGijNcAAAALAQAADwAAAAAAAAABACAAAAAiAAAAZHJzL2Rvd25y&#10;ZXYueG1sUEsBAhQAFAAAAAgAh07iQHoDCKr/AQAA9gMAAA4AAAAAAAAAAQAgAAAAJgEAAGRycy9l&#10;Mm9Eb2MueG1sUEsFBgAAAAAGAAYAWQEAAJcFAAAAAA==&#10;">
                <v:fill on="f" focussize="0,0"/>
                <v:stroke on="f" miterlimit="8" joinstyle="miter"/>
                <v:imagedata o:title=""/>
                <o:lock v:ext="edit" aspectratio="f"/>
                <v:textbox style="mso-fit-shape-to-text:t;">
                  <w:txbxContent>
                    <w:p>
                      <w:pPr>
                        <w:rPr>
                          <w:rFonts w:ascii="Arial" w:hAnsi="Arial" w:cs="Arial"/>
                          <w:sz w:val="21"/>
                          <w:szCs w:val="21"/>
                        </w:rPr>
                      </w:pPr>
                      <w:r>
                        <w:rPr>
                          <w:rFonts w:ascii="Arial" w:hAnsi="Arial" w:cs="Arial"/>
                          <w:sz w:val="21"/>
                          <w:szCs w:val="21"/>
                        </w:rPr>
                        <w:t>[•]%</w:t>
                      </w:r>
                    </w:p>
                  </w:txbxContent>
                </v:textbox>
                <w10:wrap type="square"/>
              </v:shape>
            </w:pict>
          </mc:Fallback>
        </mc:AlternateContent>
      </w:r>
      <w:r>
        <w:rPr>
          <w:rFonts w:ascii="Arial" w:hAnsi="Arial" w:eastAsia="Times New Roman" w:cs="Arial"/>
          <w:b/>
          <w:sz w:val="21"/>
          <w:szCs w:val="21"/>
          <w:lang w:val="id-ID"/>
        </w:rPr>
        <mc:AlternateContent>
          <mc:Choice Requires="wps">
            <w:drawing>
              <wp:anchor distT="0" distB="0" distL="114300" distR="114300" simplePos="0" relativeHeight="251660288" behindDoc="0" locked="0" layoutInCell="1" allowOverlap="1">
                <wp:simplePos x="0" y="0"/>
                <wp:positionH relativeFrom="column">
                  <wp:posOffset>3695700</wp:posOffset>
                </wp:positionH>
                <wp:positionV relativeFrom="paragraph">
                  <wp:posOffset>708660</wp:posOffset>
                </wp:positionV>
                <wp:extent cx="1498600" cy="1076325"/>
                <wp:effectExtent l="4445" t="5080" r="20955" b="4445"/>
                <wp:wrapNone/>
                <wp:docPr id="1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498600" cy="1076325"/>
                        </a:xfrm>
                        <a:prstGeom prst="rect">
                          <a:avLst/>
                        </a:prstGeom>
                        <a:solidFill>
                          <a:srgbClr val="FFFFFF"/>
                        </a:solidFill>
                        <a:ln w="9525">
                          <a:solidFill>
                            <a:srgbClr val="000000"/>
                          </a:solidFill>
                          <a:miter lim="800000"/>
                        </a:ln>
                      </wps:spPr>
                      <wps:txbx>
                        <w:txbxContent>
                          <w:p>
                            <w:pPr>
                              <w:jc w:val="center"/>
                              <w:rPr>
                                <w:rFonts w:ascii="Arial" w:hAnsi="Arial" w:cs="Arial"/>
                                <w:sz w:val="21"/>
                                <w:szCs w:val="21"/>
                              </w:rPr>
                            </w:pPr>
                            <w:r>
                              <w:rPr>
                                <w:rFonts w:ascii="Arial" w:hAnsi="Arial" w:cs="Arial"/>
                                <w:sz w:val="21"/>
                                <w:szCs w:val="21"/>
                              </w:rPr>
                              <w:t>[</w:t>
                            </w:r>
                            <w:r>
                              <w:rPr>
                                <w:rFonts w:ascii="Arial" w:hAnsi="Arial" w:cs="Arial"/>
                                <w:i/>
                                <w:iCs/>
                                <w:sz w:val="21"/>
                                <w:szCs w:val="21"/>
                              </w:rPr>
                              <w:t>Masukkan nama</w:t>
                            </w:r>
                            <w:r>
                              <w:rPr>
                                <w:rFonts w:ascii="Arial" w:hAnsi="Arial" w:cs="Arial"/>
                                <w:sz w:val="21"/>
                                <w:szCs w:val="21"/>
                              </w:rPr>
                              <w:t>]</w:t>
                            </w:r>
                          </w:p>
                          <w:p>
                            <w:pPr>
                              <w:jc w:val="center"/>
                              <w:rPr>
                                <w:rFonts w:ascii="Arial" w:hAnsi="Arial" w:cs="Arial"/>
                                <w:sz w:val="21"/>
                                <w:szCs w:val="21"/>
                              </w:rPr>
                            </w:pPr>
                            <w:r>
                              <w:rPr>
                                <w:rFonts w:ascii="Arial" w:hAnsi="Arial" w:cs="Arial"/>
                                <w:sz w:val="21"/>
                                <w:szCs w:val="21"/>
                              </w:rPr>
                              <w:t xml:space="preserve"> ("</w:t>
                            </w:r>
                            <w:r>
                              <w:rPr>
                                <w:rFonts w:ascii="Arial" w:hAnsi="Arial" w:cs="Arial"/>
                                <w:b/>
                                <w:bCs/>
                                <w:sz w:val="21"/>
                                <w:szCs w:val="21"/>
                              </w:rPr>
                              <w:t>Para</w:t>
                            </w:r>
                            <w:r>
                              <w:rPr>
                                <w:rFonts w:ascii="Arial" w:hAnsi="Arial" w:cs="Arial"/>
                                <w:sz w:val="21"/>
                                <w:szCs w:val="21"/>
                              </w:rPr>
                              <w:t xml:space="preserve"> </w:t>
                            </w:r>
                            <w:r>
                              <w:rPr>
                                <w:rFonts w:ascii="Arial" w:hAnsi="Arial" w:cs="Arial"/>
                                <w:b/>
                                <w:sz w:val="21"/>
                                <w:szCs w:val="21"/>
                              </w:rPr>
                              <w:t>Sponsor</w:t>
                            </w:r>
                            <w:r>
                              <w:rPr>
                                <w:rFonts w:ascii="Arial" w:hAnsi="Arial" w:cs="Arial"/>
                                <w:sz w:val="21"/>
                                <w:szCs w:val="21"/>
                              </w:rPr>
                              <w:t>")</w:t>
                            </w:r>
                          </w:p>
                        </w:txbxContent>
                      </wps:txbx>
                      <wps:bodyPr rot="0" vert="horz" wrap="square" anchor="t" anchorCtr="0" upright="1"/>
                    </wps:wsp>
                  </a:graphicData>
                </a:graphic>
              </wp:anchor>
            </w:drawing>
          </mc:Choice>
          <mc:Fallback>
            <w:pict>
              <v:shape id="Text Box 4" o:spid="_x0000_s1026" o:spt="202" type="#_x0000_t202" style="position:absolute;left:0pt;margin-left:291pt;margin-top:55.8pt;height:84.75pt;width:118pt;z-index:251660288;mso-width-relative:page;mso-height-relative:page;" fillcolor="#FFFFFF" filled="t" stroked="t" coordsize="21600,21600" o:gfxdata="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NMob7ZAAAACwEAAA8AAAAAAAAAAQAgAAAA&#10;IgAAAGRycy9kb3ducmV2LnhtbFBLAQIUABQAAAAIAIdO4kA5VnUjCgIAADoEAAAOAAAAAAAAAAEA&#10;IAAAACgBAABkcnMvZTJvRG9jLnhtbFBLBQYAAAAABgAGAFkBAACkBQAAAAA=&#10;">
                <v:fill on="t" focussize="0,0"/>
                <v:stroke color="#000000" miterlimit="8" joinstyle="miter"/>
                <v:imagedata o:title=""/>
                <o:lock v:ext="edit" aspectratio="f"/>
                <v:textbox>
                  <w:txbxContent>
                    <w:p>
                      <w:pPr>
                        <w:jc w:val="center"/>
                        <w:rPr>
                          <w:rFonts w:ascii="Arial" w:hAnsi="Arial" w:cs="Arial"/>
                          <w:sz w:val="21"/>
                          <w:szCs w:val="21"/>
                        </w:rPr>
                      </w:pPr>
                      <w:r>
                        <w:rPr>
                          <w:rFonts w:ascii="Arial" w:hAnsi="Arial" w:cs="Arial"/>
                          <w:sz w:val="21"/>
                          <w:szCs w:val="21"/>
                        </w:rPr>
                        <w:t>[</w:t>
                      </w:r>
                      <w:r>
                        <w:rPr>
                          <w:rFonts w:ascii="Arial" w:hAnsi="Arial" w:cs="Arial"/>
                          <w:i/>
                          <w:iCs/>
                          <w:sz w:val="21"/>
                          <w:szCs w:val="21"/>
                        </w:rPr>
                        <w:t>Masukkan nama</w:t>
                      </w:r>
                      <w:r>
                        <w:rPr>
                          <w:rFonts w:ascii="Arial" w:hAnsi="Arial" w:cs="Arial"/>
                          <w:sz w:val="21"/>
                          <w:szCs w:val="21"/>
                        </w:rPr>
                        <w:t>]</w:t>
                      </w:r>
                    </w:p>
                    <w:p>
                      <w:pPr>
                        <w:jc w:val="center"/>
                        <w:rPr>
                          <w:rFonts w:ascii="Arial" w:hAnsi="Arial" w:cs="Arial"/>
                          <w:sz w:val="21"/>
                          <w:szCs w:val="21"/>
                        </w:rPr>
                      </w:pPr>
                      <w:r>
                        <w:rPr>
                          <w:rFonts w:ascii="Arial" w:hAnsi="Arial" w:cs="Arial"/>
                          <w:sz w:val="21"/>
                          <w:szCs w:val="21"/>
                        </w:rPr>
                        <w:t xml:space="preserve"> ("</w:t>
                      </w:r>
                      <w:r>
                        <w:rPr>
                          <w:rFonts w:ascii="Arial" w:hAnsi="Arial" w:cs="Arial"/>
                          <w:b/>
                          <w:bCs/>
                          <w:sz w:val="21"/>
                          <w:szCs w:val="21"/>
                        </w:rPr>
                        <w:t>Para</w:t>
                      </w:r>
                      <w:r>
                        <w:rPr>
                          <w:rFonts w:ascii="Arial" w:hAnsi="Arial" w:cs="Arial"/>
                          <w:sz w:val="21"/>
                          <w:szCs w:val="21"/>
                        </w:rPr>
                        <w:t xml:space="preserve"> </w:t>
                      </w:r>
                      <w:r>
                        <w:rPr>
                          <w:rFonts w:ascii="Arial" w:hAnsi="Arial" w:cs="Arial"/>
                          <w:b/>
                          <w:sz w:val="21"/>
                          <w:szCs w:val="21"/>
                        </w:rPr>
                        <w:t>Sponsor</w:t>
                      </w:r>
                      <w:r>
                        <w:rPr>
                          <w:rFonts w:ascii="Arial" w:hAnsi="Arial" w:cs="Arial"/>
                          <w:sz w:val="21"/>
                          <w:szCs w:val="21"/>
                        </w:rPr>
                        <w:t>")</w:t>
                      </w:r>
                    </w:p>
                  </w:txbxContent>
                </v:textbox>
              </v:shape>
            </w:pict>
          </mc:Fallback>
        </mc:AlternateContent>
      </w:r>
      <w:r>
        <w:rPr>
          <w:rFonts w:ascii="Arial" w:hAnsi="Arial" w:eastAsia="Times New Roman" w:cs="Arial"/>
          <w:b/>
          <w:sz w:val="21"/>
          <w:szCs w:val="21"/>
          <w:lang w:val="id-ID"/>
        </w:rPr>
        <mc:AlternateContent>
          <mc:Choice Requires="wps">
            <w:drawing>
              <wp:anchor distT="0" distB="0" distL="114300" distR="114300" simplePos="0" relativeHeight="251666432" behindDoc="0" locked="0" layoutInCell="1" allowOverlap="1">
                <wp:simplePos x="0" y="0"/>
                <wp:positionH relativeFrom="column">
                  <wp:posOffset>1419225</wp:posOffset>
                </wp:positionH>
                <wp:positionV relativeFrom="paragraph">
                  <wp:posOffset>1751330</wp:posOffset>
                </wp:positionV>
                <wp:extent cx="733425" cy="1772285"/>
                <wp:effectExtent l="13970" t="5080" r="14605" b="51435"/>
                <wp:wrapNone/>
                <wp:docPr id="7" name="Connector: Elbow 7"/>
                <wp:cNvGraphicFramePr/>
                <a:graphic xmlns:a="http://schemas.openxmlformats.org/drawingml/2006/main">
                  <a:graphicData uri="http://schemas.microsoft.com/office/word/2010/wordprocessingShape">
                    <wps:wsp>
                      <wps:cNvCnPr/>
                      <wps:spPr>
                        <a:xfrm>
                          <a:off x="0" y="0"/>
                          <a:ext cx="733425" cy="1772285"/>
                        </a:xfrm>
                        <a:prstGeom prst="bentConnector3">
                          <a:avLst>
                            <a:gd name="adj1" fmla="val -128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or: Elbow 7" o:spid="_x0000_s1026" o:spt="34" type="#_x0000_t34" style="position:absolute;left:0pt;margin-left:111.75pt;margin-top:137.9pt;height:139.55pt;width:57.75pt;z-index:251666432;mso-width-relative:page;mso-height-relative:page;" filled="f" stroked="t" coordsize="21600,21600" o:gfxdata="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pj2H9wAAAALAQAADwAAAAAA&#10;AAABACAAAAAiAAAAZHJzL2Rvd25yZXYueG1sUEsBAhQAFAAAAAgAh07iQIXDjMQPAgAALAQAAA4A&#10;AAAAAAAAAQAgAAAAKwEAAGRycy9lMm9Eb2MueG1sUEsFBgAAAAAGAAYAWQEAAKwFAAAAAA==&#10;" adj="-277">
                <v:fill on="f" focussize="0,0"/>
                <v:stroke color="#000000 [3200]" joinstyle="round" endarrow="block"/>
                <v:imagedata o:title=""/>
                <o:lock v:ext="edit" aspectratio="f"/>
              </v:shape>
            </w:pict>
          </mc:Fallback>
        </mc:AlternateContent>
      </w:r>
      <w:r>
        <w:rPr>
          <w:rFonts w:ascii="Arial" w:hAnsi="Arial" w:eastAsia="Times New Roman" w:cs="Arial"/>
          <w:b/>
          <w:sz w:val="21"/>
          <w:szCs w:val="21"/>
          <w:lang w:val="id-ID"/>
        </w:rPr>
        <mc:AlternateContent>
          <mc:Choice Requires="wps">
            <w:drawing>
              <wp:anchor distT="0" distB="0" distL="114300" distR="114300" simplePos="0" relativeHeight="251667456" behindDoc="0" locked="0" layoutInCell="1" allowOverlap="1">
                <wp:simplePos x="0" y="0"/>
                <wp:positionH relativeFrom="column">
                  <wp:posOffset>3685540</wp:posOffset>
                </wp:positionH>
                <wp:positionV relativeFrom="paragraph">
                  <wp:posOffset>1784985</wp:posOffset>
                </wp:positionV>
                <wp:extent cx="924560" cy="1733550"/>
                <wp:effectExtent l="0" t="4445" r="8890" b="52705"/>
                <wp:wrapNone/>
                <wp:docPr id="8" name="Connector: Elbow 8"/>
                <wp:cNvGraphicFramePr/>
                <a:graphic xmlns:a="http://schemas.openxmlformats.org/drawingml/2006/main">
                  <a:graphicData uri="http://schemas.microsoft.com/office/word/2010/wordprocessingShape">
                    <wps:wsp>
                      <wps:cNvCnPr/>
                      <wps:spPr>
                        <a:xfrm flipH="1">
                          <a:off x="0" y="0"/>
                          <a:ext cx="924560" cy="1733550"/>
                        </a:xfrm>
                        <a:prstGeom prst="bentConnector3">
                          <a:avLst>
                            <a:gd name="adj1" fmla="val 1085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or: Elbow 8" o:spid="_x0000_s1026" o:spt="34" type="#_x0000_t34" style="position:absolute;left:0pt;flip:x;margin-left:290.2pt;margin-top:140.55pt;height:136.5pt;width:72.8pt;z-index:251667456;mso-width-relative:page;mso-height-relative:page;" filled="f" stroked="t" coordsize="21600,21600" o:gfxdata="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bz1P2gAAAAsBAAAP&#10;AAAAAAAAAAEAIAAAACIAAABkcnMvZG93bnJldi54bWxQSwECFAAUAAAACACHTuJAZn8LRRYCAAA2&#10;BAAADgAAAAAAAAABACAAAAApAQAAZHJzL2Uyb0RvYy54bWxQSwUGAAAAAAYABgBZAQAAsQUAAAAA&#10;" adj="2344">
                <v:fill on="f" focussize="0,0"/>
                <v:stroke color="#000000 [3200]" joinstyle="round" endarrow="block"/>
                <v:imagedata o:title=""/>
                <o:lock v:ext="edit" aspectratio="f"/>
              </v:shape>
            </w:pict>
          </mc:Fallback>
        </mc:AlternateContent>
      </w:r>
      <w:r>
        <w:rPr>
          <w:rFonts w:ascii="Arial" w:hAnsi="Arial" w:eastAsia="Times New Roman" w:cs="Arial"/>
          <w:b/>
          <w:sz w:val="21"/>
          <w:szCs w:val="21"/>
          <w:lang w:val="id-ID"/>
        </w:rP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737235</wp:posOffset>
                </wp:positionV>
                <wp:extent cx="1498600" cy="1014095"/>
                <wp:effectExtent l="4445" t="5080" r="20955" b="9525"/>
                <wp:wrapNone/>
                <wp:docPr id="17" name="Text Box 3"/>
                <wp:cNvGraphicFramePr/>
                <a:graphic xmlns:a="http://schemas.openxmlformats.org/drawingml/2006/main">
                  <a:graphicData uri="http://schemas.microsoft.com/office/word/2010/wordprocessingShape">
                    <wps:wsp>
                      <wps:cNvSpPr txBox="1">
                        <a:spLocks noChangeArrowheads="1"/>
                      </wps:cNvSpPr>
                      <wps:spPr bwMode="auto">
                        <a:xfrm>
                          <a:off x="0" y="0"/>
                          <a:ext cx="1498600" cy="1014095"/>
                        </a:xfrm>
                        <a:prstGeom prst="rect">
                          <a:avLst/>
                        </a:prstGeom>
                        <a:solidFill>
                          <a:srgbClr val="FFFFFF"/>
                        </a:solidFill>
                        <a:ln w="9525">
                          <a:solidFill>
                            <a:srgbClr val="000000"/>
                          </a:solidFill>
                          <a:miter lim="800000"/>
                        </a:ln>
                      </wps:spPr>
                      <wps:txbx>
                        <w:txbxContent>
                          <w:p>
                            <w:pPr>
                              <w:jc w:val="center"/>
                              <w:rPr>
                                <w:rFonts w:ascii="Arial" w:hAnsi="Arial" w:cs="Arial"/>
                                <w:sz w:val="21"/>
                                <w:szCs w:val="21"/>
                              </w:rPr>
                            </w:pPr>
                            <w:r>
                              <w:rPr>
                                <w:rFonts w:ascii="Arial" w:hAnsi="Arial" w:cs="Arial"/>
                                <w:sz w:val="21"/>
                                <w:szCs w:val="21"/>
                              </w:rPr>
                              <w:t>[</w:t>
                            </w:r>
                            <w:r>
                              <w:rPr>
                                <w:rFonts w:ascii="Arial" w:hAnsi="Arial" w:cs="Arial"/>
                                <w:i/>
                                <w:iCs/>
                                <w:sz w:val="21"/>
                                <w:szCs w:val="21"/>
                              </w:rPr>
                              <w:t>Masukkan nama</w:t>
                            </w:r>
                            <w:r>
                              <w:rPr>
                                <w:rFonts w:ascii="Arial" w:hAnsi="Arial" w:cs="Arial"/>
                                <w:sz w:val="21"/>
                                <w:szCs w:val="21"/>
                              </w:rPr>
                              <w:t>]</w:t>
                            </w:r>
                          </w:p>
                          <w:p>
                            <w:pPr>
                              <w:jc w:val="center"/>
                              <w:rPr>
                                <w:rFonts w:ascii="Arial" w:hAnsi="Arial" w:cs="Arial"/>
                                <w:sz w:val="21"/>
                                <w:szCs w:val="21"/>
                              </w:rPr>
                            </w:pPr>
                            <w:r>
                              <w:rPr>
                                <w:rFonts w:ascii="Arial" w:hAnsi="Arial" w:cs="Arial"/>
                                <w:sz w:val="21"/>
                                <w:szCs w:val="21"/>
                              </w:rPr>
                              <w:t xml:space="preserve"> ("</w:t>
                            </w:r>
                            <w:r>
                              <w:rPr>
                                <w:rFonts w:ascii="Arial" w:hAnsi="Arial" w:cs="Arial"/>
                                <w:b/>
                                <w:bCs/>
                                <w:sz w:val="21"/>
                                <w:szCs w:val="21"/>
                              </w:rPr>
                              <w:t xml:space="preserve">Para </w:t>
                            </w:r>
                            <w:r>
                              <w:rPr>
                                <w:rFonts w:ascii="Arial" w:hAnsi="Arial" w:cs="Arial"/>
                                <w:b/>
                                <w:sz w:val="21"/>
                                <w:szCs w:val="21"/>
                              </w:rPr>
                              <w:t>Sponsor</w:t>
                            </w:r>
                            <w:r>
                              <w:rPr>
                                <w:rFonts w:ascii="Arial" w:hAnsi="Arial" w:cs="Arial"/>
                                <w:sz w:val="21"/>
                                <w:szCs w:val="21"/>
                              </w:rPr>
                              <w:t>")</w:t>
                            </w:r>
                          </w:p>
                        </w:txbxContent>
                      </wps:txbx>
                      <wps:bodyPr rot="0" vert="horz" wrap="square" anchor="t" anchorCtr="0" upright="1"/>
                    </wps:wsp>
                  </a:graphicData>
                </a:graphic>
              </wp:anchor>
            </w:drawing>
          </mc:Choice>
          <mc:Fallback>
            <w:pict>
              <v:shape id="Text Box 3" o:spid="_x0000_s1026" o:spt="202" type="#_x0000_t202" style="position:absolute;left:0pt;margin-left:53.5pt;margin-top:58.05pt;height:79.85pt;width:118pt;z-index:251659264;mso-width-relative:page;mso-height-relative:page;" fillcolor="#FFFFFF" filled="t" stroked="t" coordsize="21600,21600" o:gfxdata="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psZPaAAAACwEAAA8AAAAAAAAAAQAg&#10;AAAAIgAAAGRycy9kb3ducmV2LnhtbFBLAQIUABQAAAAIAIdO4kCkXZ0bDAIAADoEAAAOAAAAAAAA&#10;AAEAIAAAACkBAABkcnMvZTJvRG9jLnhtbFBLBQYAAAAABgAGAFkBAACnBQAAAAA=&#10;">
                <v:fill on="t" focussize="0,0"/>
                <v:stroke color="#000000" miterlimit="8" joinstyle="miter"/>
                <v:imagedata o:title=""/>
                <o:lock v:ext="edit" aspectratio="f"/>
                <v:textbox>
                  <w:txbxContent>
                    <w:p>
                      <w:pPr>
                        <w:jc w:val="center"/>
                        <w:rPr>
                          <w:rFonts w:ascii="Arial" w:hAnsi="Arial" w:cs="Arial"/>
                          <w:sz w:val="21"/>
                          <w:szCs w:val="21"/>
                        </w:rPr>
                      </w:pPr>
                      <w:r>
                        <w:rPr>
                          <w:rFonts w:ascii="Arial" w:hAnsi="Arial" w:cs="Arial"/>
                          <w:sz w:val="21"/>
                          <w:szCs w:val="21"/>
                        </w:rPr>
                        <w:t>[</w:t>
                      </w:r>
                      <w:r>
                        <w:rPr>
                          <w:rFonts w:ascii="Arial" w:hAnsi="Arial" w:cs="Arial"/>
                          <w:i/>
                          <w:iCs/>
                          <w:sz w:val="21"/>
                          <w:szCs w:val="21"/>
                        </w:rPr>
                        <w:t>Masukkan nama</w:t>
                      </w:r>
                      <w:r>
                        <w:rPr>
                          <w:rFonts w:ascii="Arial" w:hAnsi="Arial" w:cs="Arial"/>
                          <w:sz w:val="21"/>
                          <w:szCs w:val="21"/>
                        </w:rPr>
                        <w:t>]</w:t>
                      </w:r>
                    </w:p>
                    <w:p>
                      <w:pPr>
                        <w:jc w:val="center"/>
                        <w:rPr>
                          <w:rFonts w:ascii="Arial" w:hAnsi="Arial" w:cs="Arial"/>
                          <w:sz w:val="21"/>
                          <w:szCs w:val="21"/>
                        </w:rPr>
                      </w:pPr>
                      <w:r>
                        <w:rPr>
                          <w:rFonts w:ascii="Arial" w:hAnsi="Arial" w:cs="Arial"/>
                          <w:sz w:val="21"/>
                          <w:szCs w:val="21"/>
                        </w:rPr>
                        <w:t xml:space="preserve"> ("</w:t>
                      </w:r>
                      <w:r>
                        <w:rPr>
                          <w:rFonts w:ascii="Arial" w:hAnsi="Arial" w:cs="Arial"/>
                          <w:b/>
                          <w:bCs/>
                          <w:sz w:val="21"/>
                          <w:szCs w:val="21"/>
                        </w:rPr>
                        <w:t xml:space="preserve">Para </w:t>
                      </w:r>
                      <w:r>
                        <w:rPr>
                          <w:rFonts w:ascii="Arial" w:hAnsi="Arial" w:cs="Arial"/>
                          <w:b/>
                          <w:sz w:val="21"/>
                          <w:szCs w:val="21"/>
                        </w:rPr>
                        <w:t>Sponsor</w:t>
                      </w:r>
                      <w:r>
                        <w:rPr>
                          <w:rFonts w:ascii="Arial" w:hAnsi="Arial" w:cs="Arial"/>
                          <w:sz w:val="21"/>
                          <w:szCs w:val="21"/>
                        </w:rPr>
                        <w:t>")</w:t>
                      </w:r>
                    </w:p>
                  </w:txbxContent>
                </v:textbox>
              </v:shape>
            </w:pict>
          </mc:Fallback>
        </mc:AlternateContent>
      </w:r>
      <w:r>
        <w:rPr>
          <w:rFonts w:ascii="Arial" w:hAnsi="Arial" w:eastAsia="Times New Roman" w:cs="Arial"/>
          <w:b/>
          <w:sz w:val="21"/>
          <w:szCs w:val="21"/>
          <w:lang w:val="id-ID"/>
        </w:rPr>
        <mc:AlternateContent>
          <mc:Choice Requires="wps">
            <w:drawing>
              <wp:anchor distT="0" distB="0" distL="114300" distR="114300" simplePos="0" relativeHeight="251663360" behindDoc="0" locked="0" layoutInCell="1" allowOverlap="1">
                <wp:simplePos x="0" y="0"/>
                <wp:positionH relativeFrom="column">
                  <wp:posOffset>2273300</wp:posOffset>
                </wp:positionH>
                <wp:positionV relativeFrom="paragraph">
                  <wp:posOffset>4304665</wp:posOffset>
                </wp:positionV>
                <wp:extent cx="656590" cy="328295"/>
                <wp:effectExtent l="4445" t="4445" r="5715" b="10160"/>
                <wp:wrapNone/>
                <wp:docPr id="6" name="Text Box 14"/>
                <wp:cNvGraphicFramePr/>
                <a:graphic xmlns:a="http://schemas.openxmlformats.org/drawingml/2006/main">
                  <a:graphicData uri="http://schemas.microsoft.com/office/word/2010/wordprocessingShape">
                    <wps:wsp>
                      <wps:cNvSpPr txBox="1">
                        <a:spLocks noChangeArrowheads="1"/>
                      </wps:cNvSpPr>
                      <wps:spPr bwMode="auto">
                        <a:xfrm>
                          <a:off x="0" y="0"/>
                          <a:ext cx="656590" cy="328295"/>
                        </a:xfrm>
                        <a:prstGeom prst="rect">
                          <a:avLst/>
                        </a:prstGeom>
                        <a:solidFill>
                          <a:srgbClr val="FFFFFF"/>
                        </a:solidFill>
                        <a:ln w="9525">
                          <a:solidFill>
                            <a:schemeClr val="bg1">
                              <a:lumMod val="100000"/>
                              <a:lumOff val="0"/>
                            </a:schemeClr>
                          </a:solidFill>
                          <a:miter lim="800000"/>
                        </a:ln>
                      </wps:spPr>
                      <wps:txbx>
                        <w:txbxContent>
                          <w:p>
                            <w:pPr>
                              <w:jc w:val="center"/>
                              <w:rPr>
                                <w:rFonts w:ascii="Arial" w:hAnsi="Arial" w:cs="Arial"/>
                                <w:sz w:val="21"/>
                                <w:szCs w:val="21"/>
                              </w:rPr>
                            </w:pPr>
                            <w:r>
                              <w:rPr>
                                <w:rFonts w:ascii="Arial" w:hAnsi="Arial" w:cs="Arial"/>
                                <w:sz w:val="21"/>
                                <w:szCs w:val="21"/>
                              </w:rPr>
                              <w:t>100%</w:t>
                            </w:r>
                          </w:p>
                        </w:txbxContent>
                      </wps:txbx>
                      <wps:bodyPr rot="0" vert="horz" wrap="square" anchor="t" anchorCtr="0" upright="1"/>
                    </wps:wsp>
                  </a:graphicData>
                </a:graphic>
              </wp:anchor>
            </w:drawing>
          </mc:Choice>
          <mc:Fallback>
            <w:pict>
              <v:shape id="Text Box 14" o:spid="_x0000_s1026" o:spt="202" type="#_x0000_t202" style="position:absolute;left:0pt;margin-left:179pt;margin-top:338.95pt;height:25.85pt;width:51.7pt;z-index:251663360;mso-width-relative:page;mso-height-relative:page;" fillcolor="#FFFFFF" filled="t" stroked="t" coordsize="21600,21600" o:gfxdata="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cdQxLbAAAACwEAAA8AAAAAAAAAAQAgAAAAIgAAAGRycy9kb3ducmV2LnhtbFBLAQIUABQAAAAI&#10;AIdO4kDER6kxIwIAAG4EAAAOAAAAAAAAAAEAIAAAACoBAABkcnMvZTJvRG9jLnhtbFBLBQYAAAAA&#10;BgAGAFkBAAC/BQAAAAA=&#10;">
                <v:fill on="t" focussize="0,0"/>
                <v:stroke color="#FFFFFF [3228]" miterlimit="8" joinstyle="miter"/>
                <v:imagedata o:title=""/>
                <o:lock v:ext="edit" aspectratio="f"/>
                <v:textbox>
                  <w:txbxContent>
                    <w:p>
                      <w:pPr>
                        <w:jc w:val="center"/>
                        <w:rPr>
                          <w:rFonts w:ascii="Arial" w:hAnsi="Arial" w:cs="Arial"/>
                          <w:sz w:val="21"/>
                          <w:szCs w:val="21"/>
                        </w:rPr>
                      </w:pPr>
                      <w:r>
                        <w:rPr>
                          <w:rFonts w:ascii="Arial" w:hAnsi="Arial" w:cs="Arial"/>
                          <w:sz w:val="21"/>
                          <w:szCs w:val="21"/>
                        </w:rPr>
                        <w:t>100%</w:t>
                      </w:r>
                    </w:p>
                  </w:txbxContent>
                </v:textbox>
              </v:shape>
            </w:pict>
          </mc:Fallback>
        </mc:AlternateContent>
      </w:r>
      <w:r>
        <w:rPr>
          <w:rFonts w:ascii="Arial" w:hAnsi="Arial" w:eastAsia="Times New Roman" w:cs="Arial"/>
          <w:b/>
          <w:sz w:val="21"/>
          <w:szCs w:val="21"/>
          <w:lang w:val="id-ID"/>
        </w:rPr>
        <mc:AlternateContent>
          <mc:Choice Requires="wps">
            <w:drawing>
              <wp:anchor distT="0" distB="0" distL="114300" distR="114300" simplePos="0" relativeHeight="251662336" behindDoc="0" locked="0" layoutInCell="1" allowOverlap="1">
                <wp:simplePos x="0" y="0"/>
                <wp:positionH relativeFrom="column">
                  <wp:posOffset>2168525</wp:posOffset>
                </wp:positionH>
                <wp:positionV relativeFrom="paragraph">
                  <wp:posOffset>4809490</wp:posOffset>
                </wp:positionV>
                <wp:extent cx="1466215" cy="1014095"/>
                <wp:effectExtent l="4445" t="4445" r="15240" b="1016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466215" cy="1014095"/>
                        </a:xfrm>
                        <a:prstGeom prst="rect">
                          <a:avLst/>
                        </a:prstGeom>
                        <a:solidFill>
                          <a:srgbClr val="FFFFFF"/>
                        </a:solidFill>
                        <a:ln w="9525">
                          <a:solidFill>
                            <a:srgbClr val="000000"/>
                          </a:solidFill>
                          <a:miter lim="800000"/>
                        </a:ln>
                      </wps:spPr>
                      <wps:txbx>
                        <w:txbxContent>
                          <w:p>
                            <w:pPr>
                              <w:jc w:val="center"/>
                              <w:rPr>
                                <w:rFonts w:ascii="Arial" w:hAnsi="Arial" w:cs="Arial"/>
                                <w:sz w:val="21"/>
                                <w:szCs w:val="21"/>
                              </w:rPr>
                            </w:pPr>
                            <w:r>
                              <w:rPr>
                                <w:rFonts w:ascii="Arial" w:hAnsi="Arial" w:cs="Arial"/>
                                <w:sz w:val="21"/>
                                <w:szCs w:val="21"/>
                              </w:rPr>
                              <w:t>[</w:t>
                            </w:r>
                            <w:r>
                              <w:rPr>
                                <w:rFonts w:ascii="Arial" w:hAnsi="Arial" w:cs="Arial"/>
                                <w:i/>
                                <w:iCs/>
                                <w:sz w:val="21"/>
                                <w:szCs w:val="21"/>
                              </w:rPr>
                              <w:t>Perusahaan Proyek</w:t>
                            </w:r>
                            <w:r>
                              <w:rPr>
                                <w:rFonts w:ascii="Arial" w:hAnsi="Arial" w:cs="Arial"/>
                                <w:sz w:val="21"/>
                                <w:szCs w:val="21"/>
                              </w:rPr>
                              <w:t>]</w:t>
                            </w:r>
                          </w:p>
                          <w:p>
                            <w:pPr>
                              <w:jc w:val="center"/>
                              <w:rPr>
                                <w:rFonts w:ascii="Arial" w:hAnsi="Arial" w:cs="Arial"/>
                                <w:sz w:val="21"/>
                                <w:szCs w:val="21"/>
                              </w:rPr>
                            </w:pPr>
                            <w:r>
                              <w:rPr>
                                <w:rFonts w:ascii="Arial" w:hAnsi="Arial" w:cs="Arial"/>
                                <w:sz w:val="21"/>
                                <w:szCs w:val="21"/>
                              </w:rPr>
                              <w:t>("</w:t>
                            </w:r>
                            <w:r>
                              <w:rPr>
                                <w:rFonts w:ascii="Arial" w:hAnsi="Arial" w:cs="Arial"/>
                                <w:b/>
                                <w:sz w:val="21"/>
                                <w:szCs w:val="21"/>
                              </w:rPr>
                              <w:t>Perusahaan Proyek</w:t>
                            </w:r>
                            <w:r>
                              <w:rPr>
                                <w:rFonts w:ascii="Arial" w:hAnsi="Arial" w:cs="Arial"/>
                                <w:sz w:val="21"/>
                                <w:szCs w:val="21"/>
                              </w:rPr>
                              <w:t>")</w:t>
                            </w:r>
                          </w:p>
                        </w:txbxContent>
                      </wps:txbx>
                      <wps:bodyPr rot="0" vert="horz" wrap="square" anchor="t" anchorCtr="0" upright="1"/>
                    </wps:wsp>
                  </a:graphicData>
                </a:graphic>
              </wp:anchor>
            </w:drawing>
          </mc:Choice>
          <mc:Fallback>
            <w:pict>
              <v:shape id="Text Box 9" o:spid="_x0000_s1026" o:spt="202" type="#_x0000_t202" style="position:absolute;left:0pt;margin-left:170.75pt;margin-top:378.7pt;height:79.85pt;width:115.45pt;z-index:251662336;mso-width-relative:page;mso-height-relative:page;" fillcolor="#FFFFFF" filled="t" stroked="t" coordsize="21600,21600" o:gfxdata="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Gm4+XbAAAACwEAAA8AAAAAAAAAAQAg&#10;AAAAIgAAAGRycy9kb3ducmV2LnhtbFBLAQIUABQAAAAIAIdO4kCURUN+CwIAADkEAAAOAAAAAAAA&#10;AAEAIAAAACoBAABkcnMvZTJvRG9jLnhtbFBLBQYAAAAABgAGAFkBAACnBQAAAAA=&#10;">
                <v:fill on="t" focussize="0,0"/>
                <v:stroke color="#000000" miterlimit="8" joinstyle="miter"/>
                <v:imagedata o:title=""/>
                <o:lock v:ext="edit" aspectratio="f"/>
                <v:textbox>
                  <w:txbxContent>
                    <w:p>
                      <w:pPr>
                        <w:jc w:val="center"/>
                        <w:rPr>
                          <w:rFonts w:ascii="Arial" w:hAnsi="Arial" w:cs="Arial"/>
                          <w:sz w:val="21"/>
                          <w:szCs w:val="21"/>
                        </w:rPr>
                      </w:pPr>
                      <w:r>
                        <w:rPr>
                          <w:rFonts w:ascii="Arial" w:hAnsi="Arial" w:cs="Arial"/>
                          <w:sz w:val="21"/>
                          <w:szCs w:val="21"/>
                        </w:rPr>
                        <w:t>[</w:t>
                      </w:r>
                      <w:r>
                        <w:rPr>
                          <w:rFonts w:ascii="Arial" w:hAnsi="Arial" w:cs="Arial"/>
                          <w:i/>
                          <w:iCs/>
                          <w:sz w:val="21"/>
                          <w:szCs w:val="21"/>
                        </w:rPr>
                        <w:t>Perusahaan Proyek</w:t>
                      </w:r>
                      <w:r>
                        <w:rPr>
                          <w:rFonts w:ascii="Arial" w:hAnsi="Arial" w:cs="Arial"/>
                          <w:sz w:val="21"/>
                          <w:szCs w:val="21"/>
                        </w:rPr>
                        <w:t>]</w:t>
                      </w:r>
                    </w:p>
                    <w:p>
                      <w:pPr>
                        <w:jc w:val="center"/>
                        <w:rPr>
                          <w:rFonts w:ascii="Arial" w:hAnsi="Arial" w:cs="Arial"/>
                          <w:sz w:val="21"/>
                          <w:szCs w:val="21"/>
                        </w:rPr>
                      </w:pPr>
                      <w:r>
                        <w:rPr>
                          <w:rFonts w:ascii="Arial" w:hAnsi="Arial" w:cs="Arial"/>
                          <w:sz w:val="21"/>
                          <w:szCs w:val="21"/>
                        </w:rPr>
                        <w:t>("</w:t>
                      </w:r>
                      <w:r>
                        <w:rPr>
                          <w:rFonts w:ascii="Arial" w:hAnsi="Arial" w:cs="Arial"/>
                          <w:b/>
                          <w:sz w:val="21"/>
                          <w:szCs w:val="21"/>
                        </w:rPr>
                        <w:t>Perusahaan Proyek</w:t>
                      </w:r>
                      <w:r>
                        <w:rPr>
                          <w:rFonts w:ascii="Arial" w:hAnsi="Arial" w:cs="Arial"/>
                          <w:sz w:val="21"/>
                          <w:szCs w:val="21"/>
                        </w:rPr>
                        <w:t>")</w:t>
                      </w:r>
                    </w:p>
                  </w:txbxContent>
                </v:textbox>
              </v:shape>
            </w:pict>
          </mc:Fallback>
        </mc:AlternateContent>
      </w:r>
      <w:r>
        <w:rPr>
          <w:rFonts w:ascii="Arial" w:hAnsi="Arial" w:eastAsia="Times New Roman" w:cs="Arial"/>
          <w:b/>
          <w:sz w:val="21"/>
          <w:szCs w:val="21"/>
          <w:lang w:val="id-ID"/>
        </w:rPr>
        <mc:AlternateContent>
          <mc:Choice Requires="wps">
            <w:drawing>
              <wp:anchor distT="0" distB="0" distL="114300" distR="114300" simplePos="0" relativeHeight="251661312" behindDoc="0" locked="0" layoutInCell="1" allowOverlap="1">
                <wp:simplePos x="0" y="0"/>
                <wp:positionH relativeFrom="column">
                  <wp:posOffset>2162175</wp:posOffset>
                </wp:positionH>
                <wp:positionV relativeFrom="paragraph">
                  <wp:posOffset>3009900</wp:posOffset>
                </wp:positionV>
                <wp:extent cx="1523365" cy="1076325"/>
                <wp:effectExtent l="4445" t="4445" r="15240" b="5080"/>
                <wp:wrapNone/>
                <wp:docPr id="3" name="Text Box 8"/>
                <wp:cNvGraphicFramePr/>
                <a:graphic xmlns:a="http://schemas.openxmlformats.org/drawingml/2006/main">
                  <a:graphicData uri="http://schemas.microsoft.com/office/word/2010/wordprocessingShape">
                    <wps:wsp>
                      <wps:cNvSpPr txBox="1">
                        <a:spLocks noChangeArrowheads="1"/>
                      </wps:cNvSpPr>
                      <wps:spPr bwMode="auto">
                        <a:xfrm>
                          <a:off x="0" y="0"/>
                          <a:ext cx="1523365" cy="1076325"/>
                        </a:xfrm>
                        <a:prstGeom prst="rect">
                          <a:avLst/>
                        </a:prstGeom>
                        <a:solidFill>
                          <a:srgbClr val="FFFFFF"/>
                        </a:solidFill>
                        <a:ln w="9525">
                          <a:solidFill>
                            <a:srgbClr val="000000"/>
                          </a:solidFill>
                          <a:miter lim="800000"/>
                        </a:ln>
                      </wps:spPr>
                      <wps:txbx>
                        <w:txbxContent>
                          <w:p>
                            <w:pPr>
                              <w:jc w:val="center"/>
                              <w:rPr>
                                <w:rFonts w:ascii="Arial" w:hAnsi="Arial" w:cs="Arial"/>
                                <w:sz w:val="21"/>
                                <w:szCs w:val="21"/>
                              </w:rPr>
                            </w:pPr>
                            <w:r>
                              <w:rPr>
                                <w:rFonts w:ascii="Arial" w:hAnsi="Arial" w:cs="Arial"/>
                                <w:sz w:val="21"/>
                                <w:szCs w:val="21"/>
                              </w:rPr>
                              <w:t>[</w:t>
                            </w:r>
                            <w:r>
                              <w:rPr>
                                <w:rFonts w:ascii="Arial" w:hAnsi="Arial" w:cs="Arial"/>
                                <w:i/>
                                <w:iCs/>
                                <w:sz w:val="21"/>
                                <w:szCs w:val="21"/>
                              </w:rPr>
                              <w:t>Masukkan nama</w:t>
                            </w:r>
                            <w:r>
                              <w:rPr>
                                <w:rFonts w:ascii="Arial" w:hAnsi="Arial" w:cs="Arial"/>
                                <w:sz w:val="21"/>
                                <w:szCs w:val="21"/>
                              </w:rPr>
                              <w:t>]</w:t>
                            </w:r>
                          </w:p>
                          <w:p>
                            <w:pPr>
                              <w:jc w:val="center"/>
                              <w:rPr>
                                <w:rFonts w:ascii="Arial" w:hAnsi="Arial" w:cs="Arial"/>
                                <w:sz w:val="21"/>
                                <w:szCs w:val="21"/>
                              </w:rPr>
                            </w:pPr>
                            <w:r>
                              <w:rPr>
                                <w:rFonts w:ascii="Arial" w:hAnsi="Arial" w:cs="Arial"/>
                                <w:sz w:val="21"/>
                                <w:szCs w:val="21"/>
                              </w:rPr>
                              <w:t>("</w:t>
                            </w:r>
                            <w:r>
                              <w:rPr>
                                <w:rFonts w:ascii="Arial" w:hAnsi="Arial" w:cs="Arial"/>
                                <w:b/>
                                <w:sz w:val="21"/>
                                <w:szCs w:val="21"/>
                              </w:rPr>
                              <w:t>Pemegang Saham</w:t>
                            </w:r>
                            <w:r>
                              <w:rPr>
                                <w:rFonts w:ascii="Arial" w:hAnsi="Arial" w:cs="Arial"/>
                                <w:sz w:val="21"/>
                                <w:szCs w:val="21"/>
                              </w:rPr>
                              <w:t>")</w:t>
                            </w:r>
                          </w:p>
                        </w:txbxContent>
                      </wps:txbx>
                      <wps:bodyPr rot="0" vert="horz" wrap="square" anchor="t" anchorCtr="0" upright="1"/>
                    </wps:wsp>
                  </a:graphicData>
                </a:graphic>
              </wp:anchor>
            </w:drawing>
          </mc:Choice>
          <mc:Fallback>
            <w:pict>
              <v:shape id="Text Box 8" o:spid="_x0000_s1026" o:spt="202" type="#_x0000_t202" style="position:absolute;left:0pt;margin-left:170.25pt;margin-top:237pt;height:84.75pt;width:119.95pt;z-index:251661312;mso-width-relative:page;mso-height-relative:page;" fillcolor="#FFFFFF" filled="t" stroked="t" coordsize="21600,21600" o:gfxdata="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ZIOil2gAAAAsBAAAPAAAAAAAAAAEAIAAA&#10;ACIAAABkcnMvZG93bnJldi54bWxQSwECFAAUAAAACACHTuJA9QSr6QoCAAA5BAAADgAAAAAAAAAB&#10;ACAAAAApAQAAZHJzL2Uyb0RvYy54bWxQSwUGAAAAAAYABgBZAQAApQUAAAAA&#10;">
                <v:fill on="t" focussize="0,0"/>
                <v:stroke color="#000000" miterlimit="8" joinstyle="miter"/>
                <v:imagedata o:title=""/>
                <o:lock v:ext="edit" aspectratio="f"/>
                <v:textbox>
                  <w:txbxContent>
                    <w:p>
                      <w:pPr>
                        <w:jc w:val="center"/>
                        <w:rPr>
                          <w:rFonts w:ascii="Arial" w:hAnsi="Arial" w:cs="Arial"/>
                          <w:sz w:val="21"/>
                          <w:szCs w:val="21"/>
                        </w:rPr>
                      </w:pPr>
                      <w:r>
                        <w:rPr>
                          <w:rFonts w:ascii="Arial" w:hAnsi="Arial" w:cs="Arial"/>
                          <w:sz w:val="21"/>
                          <w:szCs w:val="21"/>
                        </w:rPr>
                        <w:t>[</w:t>
                      </w:r>
                      <w:r>
                        <w:rPr>
                          <w:rFonts w:ascii="Arial" w:hAnsi="Arial" w:cs="Arial"/>
                          <w:i/>
                          <w:iCs/>
                          <w:sz w:val="21"/>
                          <w:szCs w:val="21"/>
                        </w:rPr>
                        <w:t>Masukkan nama</w:t>
                      </w:r>
                      <w:r>
                        <w:rPr>
                          <w:rFonts w:ascii="Arial" w:hAnsi="Arial" w:cs="Arial"/>
                          <w:sz w:val="21"/>
                          <w:szCs w:val="21"/>
                        </w:rPr>
                        <w:t>]</w:t>
                      </w:r>
                    </w:p>
                    <w:p>
                      <w:pPr>
                        <w:jc w:val="center"/>
                        <w:rPr>
                          <w:rFonts w:ascii="Arial" w:hAnsi="Arial" w:cs="Arial"/>
                          <w:sz w:val="21"/>
                          <w:szCs w:val="21"/>
                        </w:rPr>
                      </w:pPr>
                      <w:r>
                        <w:rPr>
                          <w:rFonts w:ascii="Arial" w:hAnsi="Arial" w:cs="Arial"/>
                          <w:sz w:val="21"/>
                          <w:szCs w:val="21"/>
                        </w:rPr>
                        <w:t>("</w:t>
                      </w:r>
                      <w:r>
                        <w:rPr>
                          <w:rFonts w:ascii="Arial" w:hAnsi="Arial" w:cs="Arial"/>
                          <w:b/>
                          <w:sz w:val="21"/>
                          <w:szCs w:val="21"/>
                        </w:rPr>
                        <w:t>Pemegang Saham</w:t>
                      </w:r>
                      <w:r>
                        <w:rPr>
                          <w:rFonts w:ascii="Arial" w:hAnsi="Arial" w:cs="Arial"/>
                          <w:sz w:val="21"/>
                          <w:szCs w:val="21"/>
                        </w:rPr>
                        <w:t>")</w:t>
                      </w:r>
                    </w:p>
                  </w:txbxContent>
                </v:textbox>
              </v:shape>
            </w:pict>
          </mc:Fallback>
        </mc:AlternateConten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spacing w:after="120"/>
        <w:rPr>
          <w:rFonts w:ascii="Arial" w:hAnsi="Arial" w:cs="Arial"/>
          <w:sz w:val="21"/>
          <w:szCs w:val="21"/>
          <w:lang w:val="id-ID"/>
        </w:rPr>
      </w:pPr>
    </w:p>
    <w:p>
      <w:pPr>
        <w:widowControl w:val="0"/>
        <w:spacing w:after="120"/>
        <w:jc w:val="center"/>
        <w:rPr>
          <w:rFonts w:ascii="Arial" w:hAnsi="Arial" w:cs="Arial"/>
          <w:sz w:val="21"/>
          <w:szCs w:val="21"/>
        </w:rPr>
      </w:pPr>
    </w:p>
    <w:sectPr>
      <w:footerReference r:id="rId8" w:type="first"/>
      <w:endnotePr>
        <w:numFmt w:val="lowerLetter"/>
      </w:endnotePr>
      <w:pgSz w:w="11907" w:h="16840"/>
      <w:pgMar w:top="1872" w:right="1440" w:bottom="1440" w:left="1800" w:header="1008" w:footer="1008" w:gutter="0"/>
      <w:pgNumType w:start="1"/>
      <w:cols w:space="720" w:num="1"/>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Simplified Arabic">
    <w:altName w:val="Segoe Print"/>
    <w:panose1 w:val="00000000000000000000"/>
    <w:charset w:val="B2"/>
    <w:family w:val="roman"/>
    <w:pitch w:val="default"/>
    <w:sig w:usb0="00000000" w:usb1="00000000" w:usb2="00000008" w:usb3="00000000" w:csb0="00000041"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5000" w:type="pct"/>
      <w:tblInd w:w="0" w:type="dxa"/>
      <w:tblLayout w:type="autofit"/>
      <w:tblCellMar>
        <w:top w:w="0" w:type="dxa"/>
        <w:left w:w="108" w:type="dxa"/>
        <w:bottom w:w="0" w:type="dxa"/>
        <w:right w:w="108" w:type="dxa"/>
      </w:tblCellMar>
    </w:tblPr>
    <w:tblGrid>
      <w:gridCol w:w="2959"/>
      <w:gridCol w:w="2962"/>
      <w:gridCol w:w="2962"/>
    </w:tblGrid>
    <w:tr>
      <w:tblPrEx>
        <w:tblCellMar>
          <w:top w:w="0" w:type="dxa"/>
          <w:left w:w="108" w:type="dxa"/>
          <w:bottom w:w="0" w:type="dxa"/>
          <w:right w:w="108" w:type="dxa"/>
        </w:tblCellMar>
      </w:tblPrEx>
      <w:sdt>
        <w:sdtPr>
          <w:rPr>
            <w:rFonts w:ascii="Arial" w:hAnsi="Arial" w:cs="Arial"/>
            <w:sz w:val="21"/>
            <w:szCs w:val="21"/>
          </w:rPr>
          <w:alias w:val="CCDocID"/>
          <w:id w:val="-1797518426"/>
          <w:text/>
        </w:sdtPr>
        <w:sdtEndPr>
          <w:rPr>
            <w:rFonts w:ascii="Arial" w:hAnsi="Arial" w:cs="Arial"/>
            <w:sz w:val="21"/>
            <w:szCs w:val="21"/>
          </w:rPr>
        </w:sdtEndPr>
        <w:sdtContent>
          <w:tc>
            <w:tcPr>
              <w:tcW w:w="1666" w:type="pct"/>
            </w:tcPr>
            <w:p>
              <w:pPr>
                <w:pStyle w:val="24"/>
                <w:rPr>
                  <w:rFonts w:ascii="Arial" w:hAnsi="Arial" w:cs="Arial"/>
                  <w:sz w:val="21"/>
                  <w:szCs w:val="21"/>
                </w:rPr>
              </w:pPr>
              <w:r>
                <w:rPr>
                  <w:rFonts w:ascii="Arial" w:hAnsi="Arial" w:cs="Arial"/>
                  <w:sz w:val="21"/>
                  <w:szCs w:val="21"/>
                </w:rPr>
                <w:t>544686-4-2-v8.0</w:t>
              </w:r>
            </w:p>
          </w:tc>
        </w:sdtContent>
      </w:sdt>
      <w:tc>
        <w:tcPr>
          <w:tcW w:w="1667" w:type="pct"/>
        </w:tcPr>
        <w:p>
          <w:pPr>
            <w:pStyle w:val="24"/>
            <w:jc w:val="center"/>
            <w:rPr>
              <w:rStyle w:val="29"/>
              <w:rFonts w:ascii="Arial" w:hAnsi="Arial" w:eastAsia="SimSun" w:cs="Arial"/>
              <w:sz w:val="21"/>
              <w:szCs w:val="21"/>
            </w:rPr>
          </w:pPr>
          <w:r>
            <w:rPr>
              <w:rStyle w:val="29"/>
              <w:rFonts w:ascii="Arial" w:hAnsi="Arial" w:eastAsia="SimSun" w:cs="Arial"/>
              <w:sz w:val="21"/>
              <w:szCs w:val="21"/>
            </w:rPr>
            <w:t xml:space="preserve">- </w:t>
          </w:r>
          <w:r>
            <w:rPr>
              <w:rStyle w:val="29"/>
              <w:rFonts w:ascii="Arial" w:hAnsi="Arial" w:eastAsia="SimSun" w:cs="Arial"/>
              <w:sz w:val="21"/>
              <w:szCs w:val="21"/>
            </w:rPr>
            <w:fldChar w:fldCharType="begin"/>
          </w:r>
          <w:r>
            <w:rPr>
              <w:rStyle w:val="29"/>
              <w:rFonts w:ascii="Arial" w:hAnsi="Arial" w:eastAsia="SimSun" w:cs="Arial"/>
              <w:sz w:val="21"/>
              <w:szCs w:val="21"/>
            </w:rPr>
            <w:instrText xml:space="preserve"> PAGE  \* MERGEFORMAT </w:instrText>
          </w:r>
          <w:r>
            <w:rPr>
              <w:rStyle w:val="29"/>
              <w:rFonts w:ascii="Arial" w:hAnsi="Arial" w:eastAsia="SimSun" w:cs="Arial"/>
              <w:sz w:val="21"/>
              <w:szCs w:val="21"/>
            </w:rPr>
            <w:fldChar w:fldCharType="separate"/>
          </w:r>
          <w:r>
            <w:rPr>
              <w:rStyle w:val="29"/>
              <w:rFonts w:ascii="Arial" w:hAnsi="Arial" w:eastAsia="SimSun" w:cs="Arial"/>
              <w:sz w:val="21"/>
              <w:szCs w:val="21"/>
            </w:rPr>
            <w:t>13</w:t>
          </w:r>
          <w:r>
            <w:rPr>
              <w:rStyle w:val="29"/>
              <w:rFonts w:ascii="Arial" w:hAnsi="Arial" w:eastAsia="SimSun" w:cs="Arial"/>
              <w:sz w:val="21"/>
              <w:szCs w:val="21"/>
            </w:rPr>
            <w:fldChar w:fldCharType="end"/>
          </w:r>
          <w:r>
            <w:rPr>
              <w:rStyle w:val="29"/>
              <w:rFonts w:ascii="Arial" w:hAnsi="Arial" w:eastAsia="SimSun" w:cs="Arial"/>
              <w:sz w:val="21"/>
              <w:szCs w:val="21"/>
            </w:rPr>
            <w:t xml:space="preserve"> -</w:t>
          </w:r>
        </w:p>
      </w:tc>
      <w:tc>
        <w:tcPr>
          <w:tcW w:w="1667" w:type="pct"/>
        </w:tcPr>
        <w:p>
          <w:pPr>
            <w:pStyle w:val="44"/>
            <w:rPr>
              <w:rFonts w:ascii="Arial" w:hAnsi="Arial" w:cs="Arial"/>
              <w:sz w:val="21"/>
              <w:szCs w:val="21"/>
            </w:rPr>
          </w:pPr>
          <w:r>
            <w:rPr>
              <w:rFonts w:ascii="Arial" w:hAnsi="Arial" w:cs="Arial"/>
              <w:sz w:val="21"/>
              <w:szCs w:val="21"/>
            </w:rPr>
            <w:t>17-40732064</w:t>
          </w:r>
        </w:p>
      </w:tc>
    </w:tr>
  </w:tbl>
  <w:p>
    <w:pPr>
      <w:pStyle w:val="24"/>
      <w:tabs>
        <w:tab w:val="left" w:pos="284"/>
        <w:tab w:val="center" w:pos="4536"/>
        <w:tab w:val="right" w:pos="8647"/>
      </w:tabs>
      <w:rPr>
        <w:rFonts w:ascii="Arial" w:hAnsi="Arial" w:cs="Arial"/>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5000" w:type="pct"/>
      <w:tblInd w:w="0" w:type="dxa"/>
      <w:tblLayout w:type="autofit"/>
      <w:tblCellMar>
        <w:top w:w="0" w:type="dxa"/>
        <w:left w:w="108" w:type="dxa"/>
        <w:bottom w:w="0" w:type="dxa"/>
        <w:right w:w="108" w:type="dxa"/>
      </w:tblCellMar>
    </w:tblPr>
    <w:tblGrid>
      <w:gridCol w:w="2959"/>
      <w:gridCol w:w="2962"/>
      <w:gridCol w:w="2962"/>
    </w:tblGrid>
    <w:tr>
      <w:tblPrEx>
        <w:tblCellMar>
          <w:top w:w="0" w:type="dxa"/>
          <w:left w:w="108" w:type="dxa"/>
          <w:bottom w:w="0" w:type="dxa"/>
          <w:right w:w="108" w:type="dxa"/>
        </w:tblCellMar>
      </w:tblPrEx>
      <w:sdt>
        <w:sdtPr>
          <w:rPr>
            <w:rFonts w:ascii="Arial" w:hAnsi="Arial" w:cs="Arial"/>
            <w:sz w:val="21"/>
            <w:szCs w:val="21"/>
          </w:rPr>
          <w:alias w:val="CCDocID"/>
          <w:id w:val="1525204727"/>
          <w:text/>
        </w:sdtPr>
        <w:sdtEndPr>
          <w:rPr>
            <w:rFonts w:ascii="Arial" w:hAnsi="Arial" w:cs="Arial"/>
            <w:sz w:val="21"/>
            <w:szCs w:val="21"/>
          </w:rPr>
        </w:sdtEndPr>
        <w:sdtContent>
          <w:tc>
            <w:tcPr>
              <w:tcW w:w="1666" w:type="pct"/>
            </w:tcPr>
            <w:p>
              <w:pPr>
                <w:pStyle w:val="24"/>
                <w:rPr>
                  <w:rFonts w:ascii="Arial" w:hAnsi="Arial" w:cs="Arial"/>
                  <w:sz w:val="21"/>
                  <w:szCs w:val="21"/>
                </w:rPr>
              </w:pPr>
              <w:r>
                <w:rPr>
                  <w:rFonts w:ascii="Arial" w:hAnsi="Arial" w:cs="Arial"/>
                  <w:sz w:val="21"/>
                  <w:szCs w:val="21"/>
                </w:rPr>
                <w:t>544686-4-2-v8.0</w:t>
              </w:r>
            </w:p>
          </w:tc>
        </w:sdtContent>
      </w:sdt>
      <w:tc>
        <w:tcPr>
          <w:tcW w:w="1667" w:type="pct"/>
        </w:tcPr>
        <w:p>
          <w:pPr>
            <w:pStyle w:val="24"/>
            <w:jc w:val="center"/>
            <w:rPr>
              <w:rStyle w:val="29"/>
              <w:rFonts w:ascii="Arial" w:hAnsi="Arial" w:eastAsia="SimSun" w:cs="Arial"/>
              <w:sz w:val="21"/>
              <w:szCs w:val="21"/>
            </w:rPr>
          </w:pPr>
          <w:r>
            <w:rPr>
              <w:rStyle w:val="29"/>
              <w:rFonts w:ascii="Arial" w:hAnsi="Arial" w:eastAsia="SimSun" w:cs="Arial"/>
              <w:sz w:val="21"/>
              <w:szCs w:val="21"/>
            </w:rPr>
            <w:t xml:space="preserve">- </w:t>
          </w:r>
          <w:r>
            <w:rPr>
              <w:rStyle w:val="29"/>
              <w:rFonts w:ascii="Arial" w:hAnsi="Arial" w:eastAsia="SimSun" w:cs="Arial"/>
              <w:sz w:val="21"/>
              <w:szCs w:val="21"/>
            </w:rPr>
            <w:fldChar w:fldCharType="begin"/>
          </w:r>
          <w:r>
            <w:rPr>
              <w:rStyle w:val="29"/>
              <w:rFonts w:ascii="Arial" w:hAnsi="Arial" w:eastAsia="SimSun" w:cs="Arial"/>
              <w:sz w:val="21"/>
              <w:szCs w:val="21"/>
            </w:rPr>
            <w:instrText xml:space="preserve"> PAGE  \* MERGEFORMAT </w:instrText>
          </w:r>
          <w:r>
            <w:rPr>
              <w:rStyle w:val="29"/>
              <w:rFonts w:ascii="Arial" w:hAnsi="Arial" w:eastAsia="SimSun" w:cs="Arial"/>
              <w:sz w:val="21"/>
              <w:szCs w:val="21"/>
            </w:rPr>
            <w:fldChar w:fldCharType="separate"/>
          </w:r>
          <w:r>
            <w:rPr>
              <w:rStyle w:val="29"/>
              <w:rFonts w:ascii="Arial" w:hAnsi="Arial" w:eastAsia="SimSun" w:cs="Arial"/>
              <w:sz w:val="21"/>
              <w:szCs w:val="21"/>
            </w:rPr>
            <w:t>i</w:t>
          </w:r>
          <w:r>
            <w:rPr>
              <w:rStyle w:val="29"/>
              <w:rFonts w:ascii="Arial" w:hAnsi="Arial" w:eastAsia="SimSun" w:cs="Arial"/>
              <w:sz w:val="21"/>
              <w:szCs w:val="21"/>
            </w:rPr>
            <w:fldChar w:fldCharType="end"/>
          </w:r>
          <w:r>
            <w:rPr>
              <w:rStyle w:val="29"/>
              <w:rFonts w:ascii="Arial" w:hAnsi="Arial" w:eastAsia="SimSun" w:cs="Arial"/>
              <w:sz w:val="21"/>
              <w:szCs w:val="21"/>
            </w:rPr>
            <w:t xml:space="preserve"> -</w:t>
          </w:r>
        </w:p>
      </w:tc>
      <w:tc>
        <w:tcPr>
          <w:tcW w:w="1667" w:type="pct"/>
        </w:tcPr>
        <w:p>
          <w:pPr>
            <w:pStyle w:val="44"/>
            <w:rPr>
              <w:rFonts w:ascii="Arial" w:hAnsi="Arial" w:cs="Arial"/>
              <w:sz w:val="21"/>
              <w:szCs w:val="21"/>
            </w:rPr>
          </w:pPr>
          <w:r>
            <w:rPr>
              <w:rFonts w:ascii="Arial" w:hAnsi="Arial" w:cs="Arial"/>
              <w:sz w:val="21"/>
              <w:szCs w:val="21"/>
            </w:rPr>
            <w:t>17-40732064</w:t>
          </w:r>
        </w:p>
      </w:tc>
    </w:tr>
  </w:tbl>
  <w:p>
    <w:pPr>
      <w:pStyle w:val="24"/>
      <w:tabs>
        <w:tab w:val="left" w:pos="284"/>
        <w:tab w:val="center" w:pos="4536"/>
        <w:tab w:val="right" w:pos="8647"/>
      </w:tabs>
      <w:rPr>
        <w:rFonts w:ascii="Arial" w:hAnsi="Arial" w:cs="Arial"/>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5000" w:type="pct"/>
      <w:tblInd w:w="0" w:type="dxa"/>
      <w:tblLayout w:type="autofit"/>
      <w:tblCellMar>
        <w:top w:w="0" w:type="dxa"/>
        <w:left w:w="108" w:type="dxa"/>
        <w:bottom w:w="0" w:type="dxa"/>
        <w:right w:w="108" w:type="dxa"/>
      </w:tblCellMar>
    </w:tblPr>
    <w:tblGrid>
      <w:gridCol w:w="2959"/>
      <w:gridCol w:w="2962"/>
      <w:gridCol w:w="2962"/>
    </w:tblGrid>
    <w:tr>
      <w:tblPrEx>
        <w:tblCellMar>
          <w:top w:w="0" w:type="dxa"/>
          <w:left w:w="108" w:type="dxa"/>
          <w:bottom w:w="0" w:type="dxa"/>
          <w:right w:w="108" w:type="dxa"/>
        </w:tblCellMar>
      </w:tblPrEx>
      <w:sdt>
        <w:sdtPr>
          <w:rPr>
            <w:rFonts w:ascii="Arial" w:hAnsi="Arial" w:cs="Arial"/>
          </w:rPr>
          <w:alias w:val="CCDocID"/>
          <w:id w:val="-1840539314"/>
          <w:text/>
        </w:sdtPr>
        <w:sdtEndPr>
          <w:rPr>
            <w:rFonts w:ascii="Arial" w:hAnsi="Arial" w:cs="Arial"/>
          </w:rPr>
        </w:sdtEndPr>
        <w:sdtContent>
          <w:tc>
            <w:tcPr>
              <w:tcW w:w="1666" w:type="pct"/>
            </w:tcPr>
            <w:p>
              <w:pPr>
                <w:pStyle w:val="24"/>
                <w:rPr>
                  <w:rFonts w:ascii="Arial" w:hAnsi="Arial" w:cs="Arial"/>
                </w:rPr>
              </w:pPr>
              <w:r>
                <w:rPr>
                  <w:rFonts w:ascii="Arial" w:hAnsi="Arial" w:cs="Arial"/>
                </w:rPr>
                <w:t>544686-4-2-v8.0</w:t>
              </w:r>
            </w:p>
          </w:tc>
        </w:sdtContent>
      </w:sdt>
      <w:tc>
        <w:tcPr>
          <w:tcW w:w="1667" w:type="pct"/>
        </w:tcPr>
        <w:p>
          <w:pPr>
            <w:pStyle w:val="24"/>
            <w:jc w:val="center"/>
            <w:rPr>
              <w:rStyle w:val="29"/>
              <w:rFonts w:ascii="Arial" w:hAnsi="Arial" w:eastAsia="SimSun" w:cs="Arial"/>
              <w:sz w:val="21"/>
              <w:szCs w:val="21"/>
            </w:rPr>
          </w:pPr>
          <w:r>
            <w:rPr>
              <w:rStyle w:val="29"/>
              <w:rFonts w:ascii="Arial" w:hAnsi="Arial" w:eastAsia="SimSun" w:cs="Arial"/>
              <w:sz w:val="21"/>
              <w:szCs w:val="21"/>
            </w:rPr>
            <w:t xml:space="preserve">- </w:t>
          </w:r>
          <w:r>
            <w:rPr>
              <w:rStyle w:val="29"/>
              <w:rFonts w:ascii="Arial" w:hAnsi="Arial" w:eastAsia="SimSun" w:cs="Arial"/>
              <w:sz w:val="21"/>
              <w:szCs w:val="21"/>
            </w:rPr>
            <w:fldChar w:fldCharType="begin"/>
          </w:r>
          <w:r>
            <w:rPr>
              <w:rStyle w:val="29"/>
              <w:rFonts w:ascii="Arial" w:hAnsi="Arial" w:eastAsia="SimSun" w:cs="Arial"/>
              <w:sz w:val="21"/>
              <w:szCs w:val="21"/>
            </w:rPr>
            <w:instrText xml:space="preserve"> PAGE  \* MERGEFORMAT </w:instrText>
          </w:r>
          <w:r>
            <w:rPr>
              <w:rStyle w:val="29"/>
              <w:rFonts w:ascii="Arial" w:hAnsi="Arial" w:eastAsia="SimSun" w:cs="Arial"/>
              <w:sz w:val="21"/>
              <w:szCs w:val="21"/>
            </w:rPr>
            <w:fldChar w:fldCharType="separate"/>
          </w:r>
          <w:r>
            <w:rPr>
              <w:rStyle w:val="29"/>
              <w:rFonts w:ascii="Arial" w:hAnsi="Arial" w:eastAsia="SimSun" w:cs="Arial"/>
              <w:sz w:val="21"/>
              <w:szCs w:val="21"/>
            </w:rPr>
            <w:t>1</w:t>
          </w:r>
          <w:r>
            <w:rPr>
              <w:rStyle w:val="29"/>
              <w:rFonts w:ascii="Arial" w:hAnsi="Arial" w:eastAsia="SimSun" w:cs="Arial"/>
              <w:sz w:val="21"/>
              <w:szCs w:val="21"/>
            </w:rPr>
            <w:fldChar w:fldCharType="end"/>
          </w:r>
          <w:r>
            <w:rPr>
              <w:rStyle w:val="29"/>
              <w:rFonts w:ascii="Arial" w:hAnsi="Arial" w:eastAsia="SimSun" w:cs="Arial"/>
              <w:sz w:val="21"/>
              <w:szCs w:val="21"/>
            </w:rPr>
            <w:t xml:space="preserve"> -</w:t>
          </w:r>
        </w:p>
      </w:tc>
      <w:tc>
        <w:tcPr>
          <w:tcW w:w="1667" w:type="pct"/>
        </w:tcPr>
        <w:p>
          <w:pPr>
            <w:pStyle w:val="44"/>
            <w:rPr>
              <w:rFonts w:ascii="Arial" w:hAnsi="Arial" w:cs="Arial"/>
            </w:rPr>
          </w:pPr>
          <w:r>
            <w:rPr>
              <w:rFonts w:ascii="Arial" w:hAnsi="Arial" w:cs="Arial"/>
            </w:rPr>
            <w:t>17-40732064</w:t>
          </w:r>
        </w:p>
      </w:tc>
    </w:tr>
  </w:tbl>
  <w:p>
    <w:pPr>
      <w:pStyle w:val="24"/>
      <w:tabs>
        <w:tab w:val="left" w:pos="284"/>
        <w:tab w:val="center" w:pos="4536"/>
        <w:tab w:val="right" w:pos="8647"/>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94">
    <w:p>
      <w:pPr>
        <w:spacing w:before="0" w:after="0"/>
      </w:pPr>
    </w:p>
  </w:footnote>
  <w:footnote w:type="continuationSeparator" w:id="395">
    <w:p>
      <w:pPr>
        <w:spacing w:before="0" w:after="0"/>
      </w:pPr>
    </w:p>
  </w:footnote>
  <w:footnote w:id="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 xml:space="preserve">Hal ini harus mencakup setiap orang yang memberikan ekuitas atau dukungan sponsor (termasuk dukungan kekurangan </w:t>
      </w:r>
      <w:r>
        <w:rPr>
          <w:rFonts w:ascii="Arial" w:hAnsi="Arial" w:cs="Arial"/>
          <w:sz w:val="16"/>
          <w:szCs w:val="16"/>
          <w:lang w:val="en-US"/>
        </w:rPr>
        <w:t xml:space="preserve">kas </w:t>
      </w:r>
      <w:r>
        <w:rPr>
          <w:rFonts w:ascii="Arial" w:hAnsi="Arial" w:cs="Arial"/>
          <w:sz w:val="16"/>
          <w:szCs w:val="16"/>
        </w:rPr>
        <w:t>atau jaminan</w:t>
      </w:r>
      <w:r>
        <w:rPr>
          <w:rFonts w:ascii="Arial" w:hAnsi="Arial" w:cs="Arial"/>
          <w:sz w:val="16"/>
          <w:szCs w:val="16"/>
          <w:lang w:val="en-US"/>
        </w:rPr>
        <w:t>-</w:t>
      </w:r>
      <w:r>
        <w:rPr>
          <w:rFonts w:ascii="Arial" w:hAnsi="Arial" w:cs="Arial"/>
          <w:sz w:val="16"/>
          <w:szCs w:val="16"/>
        </w:rPr>
        <w:t>jaminan penyelesaian) untuk Proyek.</w:t>
      </w:r>
    </w:p>
  </w:footnote>
  <w:footnote w:id="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lang w:val="en-US"/>
        </w:rPr>
        <w:t>Akan d</w:t>
      </w:r>
      <w:r>
        <w:rPr>
          <w:rFonts w:ascii="Arial" w:hAnsi="Arial" w:cs="Arial"/>
          <w:sz w:val="16"/>
          <w:szCs w:val="16"/>
        </w:rPr>
        <w:t>isertakan jika Para Sponsor bukan merupakan pemilik langsung Debitur.</w:t>
      </w:r>
    </w:p>
  </w:footnote>
  <w:footnote w:id="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 xml:space="preserve">Seluruh pihak lawan berkontrak utama </w:t>
      </w:r>
      <w:r>
        <w:rPr>
          <w:rFonts w:ascii="Arial" w:hAnsi="Arial" w:cs="Arial"/>
          <w:sz w:val="16"/>
          <w:szCs w:val="16"/>
          <w:lang w:val="en-US"/>
        </w:rPr>
        <w:t xml:space="preserve">dalam </w:t>
      </w:r>
      <w:r>
        <w:rPr>
          <w:rFonts w:ascii="Arial" w:hAnsi="Arial" w:cs="Arial"/>
          <w:sz w:val="16"/>
          <w:szCs w:val="16"/>
        </w:rPr>
        <w:t xml:space="preserve">proyek akan disertakan di sini. Para pihak lawan berkontrak tambahan/lain dapat mencakup pemberi konsesi apa pun (atau pihak lawan berkontrak </w:t>
      </w:r>
      <w:r>
        <w:rPr>
          <w:rFonts w:ascii="Arial" w:hAnsi="Arial" w:cs="Arial"/>
          <w:sz w:val="16"/>
          <w:szCs w:val="16"/>
          <w:lang w:val="en-US"/>
        </w:rPr>
        <w:t xml:space="preserve">dalam </w:t>
      </w:r>
      <w:r>
        <w:rPr>
          <w:rFonts w:ascii="Arial" w:hAnsi="Arial" w:cs="Arial"/>
          <w:sz w:val="16"/>
          <w:szCs w:val="16"/>
        </w:rPr>
        <w:t>perjanjian Bangun Guna Serah (</w:t>
      </w:r>
      <w:r>
        <w:rPr>
          <w:rFonts w:ascii="Arial" w:hAnsi="Arial" w:cs="Arial"/>
          <w:i/>
          <w:iCs/>
          <w:sz w:val="16"/>
          <w:szCs w:val="16"/>
        </w:rPr>
        <w:t>Build-Operate Transfer</w:t>
      </w:r>
      <w:r>
        <w:rPr>
          <w:rFonts w:ascii="Arial" w:hAnsi="Arial" w:cs="Arial"/>
          <w:sz w:val="16"/>
          <w:szCs w:val="16"/>
        </w:rPr>
        <w:t>) atau perjanjian pelaksanaan), para pemasok bahan bakar/bahan baku, para penyedia utilitas, para penyedia layanan jangka panjang, para pemberi sewa tanah dan para penanggung mana pun dari para pihak lawan berkontrak tersebut.</w:t>
      </w:r>
    </w:p>
  </w:footnote>
  <w:footnote w:id="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Konsep dari Partisipan Proyek Utama, jika digunakan, biasanya akan berlaku untuk: (1) prasyarat pendahuluan (untuk memberikan dokumen-dokumen pendirian, laporan</w:t>
      </w:r>
      <w:r>
        <w:rPr>
          <w:rFonts w:ascii="Arial" w:hAnsi="Arial" w:cs="Arial"/>
          <w:sz w:val="16"/>
          <w:szCs w:val="16"/>
          <w:lang w:val="en-US"/>
        </w:rPr>
        <w:t xml:space="preserve"> </w:t>
      </w:r>
      <w:r>
        <w:rPr>
          <w:rFonts w:ascii="Arial" w:hAnsi="Arial" w:cs="Arial"/>
          <w:sz w:val="16"/>
          <w:szCs w:val="16"/>
        </w:rPr>
        <w:t>keuangan); (2) janji-janji (laporan</w:t>
      </w:r>
      <w:r>
        <w:rPr>
          <w:rFonts w:ascii="Arial" w:hAnsi="Arial" w:cs="Arial"/>
          <w:sz w:val="16"/>
          <w:szCs w:val="16"/>
          <w:lang w:val="en-US"/>
        </w:rPr>
        <w:t xml:space="preserve"> </w:t>
      </w:r>
      <w:r>
        <w:rPr>
          <w:rFonts w:ascii="Arial" w:hAnsi="Arial" w:cs="Arial"/>
          <w:sz w:val="16"/>
          <w:szCs w:val="16"/>
        </w:rPr>
        <w:t>keuangan); (3) Peristiwa-peristiwa Cedera Janji (insolvensi, cedera janji silang); dan (4) definisi dari Dampak Merugikan Yang Material.</w:t>
      </w:r>
    </w:p>
  </w:footnote>
  <w:footnote w:id="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 xml:space="preserve">Istilah akan diubah tergantung pada </w:t>
      </w:r>
      <w:r>
        <w:rPr>
          <w:rFonts w:ascii="Arial" w:hAnsi="Arial" w:cs="Arial"/>
          <w:sz w:val="16"/>
          <w:szCs w:val="16"/>
          <w:lang w:val="en-US"/>
        </w:rPr>
        <w:t xml:space="preserve">format </w:t>
      </w:r>
      <w:r>
        <w:rPr>
          <w:rFonts w:ascii="Arial" w:hAnsi="Arial" w:cs="Arial"/>
          <w:sz w:val="16"/>
          <w:szCs w:val="16"/>
        </w:rPr>
        <w:t>Kontrak Konstruksi.</w:t>
      </w:r>
    </w:p>
  </w:footnote>
  <w:footnote w:id="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Para pihak lawan berkontrak hanya dapat diklasifikasikan sebagai Para Partisipan Proyek Utama selama mereka memiliki kewajiban-kewajiban material berdasarkan Dokumen-dokumen Proyek. Para Pemegang Saham dapat mensyaratkan agar mereka juga hanya menjadi Para Partisipan Proyek Utama selama mereka memiliki kewajiban-kewajiban berdasarkan dokumen-dokumen pendukung ekuitas terkait.</w:t>
      </w:r>
    </w:p>
  </w:footnote>
  <w:footnote w:id="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Para pihak akan menyepakati ruang lingkup Para Partisipan Proyek Utama.</w:t>
      </w:r>
    </w:p>
  </w:footnote>
  <w:footnote w:id="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 xml:space="preserve">Jika terdapat sejumlah Fasilitas, umumnya terdapat satu agen keseluruhan yang mengoordinasikan fasilitas-fasilitas dan Agen Fasilitas perorangan untuk setiap masing-masing fasilitas. </w:t>
      </w:r>
      <w:r>
        <w:rPr>
          <w:rFonts w:ascii="Arial" w:hAnsi="Arial" w:cs="Arial"/>
          <w:i/>
          <w:iCs/>
          <w:sz w:val="16"/>
          <w:szCs w:val="16"/>
        </w:rPr>
        <w:t xml:space="preserve">Template </w:t>
      </w:r>
      <w:r>
        <w:rPr>
          <w:rFonts w:ascii="Arial" w:hAnsi="Arial" w:cs="Arial"/>
          <w:sz w:val="16"/>
          <w:szCs w:val="16"/>
        </w:rPr>
        <w:t xml:space="preserve">ini merujuk pada agen keseluruhan sebagai Agen </w:t>
      </w:r>
      <w:r>
        <w:rPr>
          <w:rFonts w:ascii="Arial" w:hAnsi="Arial" w:cs="Arial"/>
          <w:sz w:val="16"/>
          <w:szCs w:val="16"/>
          <w:lang w:val="en-US"/>
        </w:rPr>
        <w:t>Antarkreditur</w:t>
      </w:r>
      <w:r>
        <w:rPr>
          <w:rFonts w:ascii="Arial" w:hAnsi="Arial" w:cs="Arial"/>
          <w:sz w:val="16"/>
          <w:szCs w:val="16"/>
        </w:rPr>
        <w:t>.</w:t>
      </w:r>
    </w:p>
  </w:footnote>
  <w:footnote w:id="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 xml:space="preserve">Sebagaimana disebutkan di atas, jika ada beberapa fasilitas, masukkan identitas </w:t>
      </w:r>
      <w:r>
        <w:rPr>
          <w:rFonts w:ascii="Arial" w:hAnsi="Arial" w:cs="Arial"/>
          <w:sz w:val="16"/>
          <w:szCs w:val="16"/>
          <w:lang w:val="en-US"/>
        </w:rPr>
        <w:t xml:space="preserve">dari </w:t>
      </w:r>
      <w:r>
        <w:rPr>
          <w:rFonts w:ascii="Arial" w:hAnsi="Arial" w:cs="Arial"/>
          <w:sz w:val="16"/>
          <w:szCs w:val="16"/>
        </w:rPr>
        <w:t>masing-masing Agen Fasilitas.</w:t>
      </w:r>
    </w:p>
  </w:footnote>
  <w:footnote w:id="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Seringkali baik agen jaminan dalam negeri (dalam kaitannya dengan jaminan hukum setempat) dan agen jaminan luar negeri (dalam kaitannya dengan jaminan hukum bukan dalam negeri atau luar negeri) diperlukan.</w:t>
      </w:r>
    </w:p>
  </w:footnote>
  <w:footnote w:id="1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Advis </w:t>
      </w:r>
      <w:r>
        <w:rPr>
          <w:rFonts w:ascii="Arial" w:hAnsi="Arial" w:cs="Arial"/>
          <w:sz w:val="16"/>
          <w:szCs w:val="16"/>
          <w:lang w:val="en-US"/>
        </w:rPr>
        <w:t xml:space="preserve">terkait </w:t>
      </w:r>
      <w:r>
        <w:rPr>
          <w:rFonts w:ascii="Arial" w:hAnsi="Arial" w:cs="Arial"/>
          <w:sz w:val="16"/>
          <w:szCs w:val="16"/>
        </w:rPr>
        <w:t xml:space="preserve">hukum setempat harus diminta untuk memastikan struktur yang tepat untuk kepemilikan jaminan (karena </w:t>
      </w:r>
      <w:r>
        <w:rPr>
          <w:rFonts w:ascii="Arial" w:hAnsi="Arial" w:cs="Arial"/>
          <w:i/>
          <w:iCs/>
          <w:sz w:val="16"/>
          <w:szCs w:val="16"/>
        </w:rPr>
        <w:t xml:space="preserve">trust </w:t>
      </w:r>
      <w:r>
        <w:rPr>
          <w:rFonts w:ascii="Arial" w:hAnsi="Arial" w:cs="Arial"/>
          <w:sz w:val="16"/>
          <w:szCs w:val="16"/>
        </w:rPr>
        <w:t>tidak diakui di semua yurisdiksi).</w:t>
      </w:r>
    </w:p>
  </w:footnote>
  <w:footnote w:id="1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Bank(-bank) Rekening harus dicantumkan di sini dan dapat menjadi pihak dalam Perjanjian Ketentuan-ketentuan Umum</w:t>
      </w:r>
      <w:r>
        <w:rPr>
          <w:rFonts w:ascii="Arial" w:hAnsi="Arial" w:cs="Arial"/>
          <w:sz w:val="16"/>
          <w:szCs w:val="16"/>
          <w:lang w:val="en-US"/>
        </w:rPr>
        <w:t xml:space="preserve"> </w:t>
      </w:r>
      <w:r>
        <w:rPr>
          <w:rFonts w:ascii="Arial" w:hAnsi="Arial" w:cs="Arial"/>
          <w:sz w:val="16"/>
          <w:szCs w:val="16"/>
        </w:rPr>
        <w:t>– karena umumnya Bank Rekening juga akan menjadi Kreditur dan oleh karena itu tidak akan keberatan untuk menjadi suatu pihak – tetapi, dalam beberapa hal, mungkin tidak demikian.  Hal ini dikarenakan Bank Rekening bukan agen untuk Para Pihak Pembiayaan dan sedang menjalankan fungsi administratif dimana pihaknya secara ketat mematuhi instruksi, hanya berpegang pada pemberitahuan bahwa syarat-syarat terkait telah dipenuhi tanpa diharuskan untuk melakukan penyelidikan oleh pihaknya sendiri dan tidak diharuskan untuk menggunakan diskresi apa pun.</w:t>
      </w:r>
    </w:p>
  </w:footnote>
  <w:footnote w:id="1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Pemisahan rekening bank dalam</w:t>
      </w:r>
      <w:r>
        <w:rPr>
          <w:rFonts w:ascii="Arial" w:hAnsi="Arial" w:cs="Arial"/>
          <w:sz w:val="16"/>
          <w:szCs w:val="16"/>
          <w:lang w:val="en-US"/>
        </w:rPr>
        <w:t xml:space="preserve"> negeri </w:t>
      </w:r>
      <w:r>
        <w:rPr>
          <w:rFonts w:ascii="Arial" w:hAnsi="Arial" w:cs="Arial"/>
          <w:sz w:val="16"/>
          <w:szCs w:val="16"/>
        </w:rPr>
        <w:t>/luar negeri telah diasumsikan atas dasar adanya rekening</w:t>
      </w:r>
      <w:r>
        <w:rPr>
          <w:rFonts w:ascii="Arial" w:hAnsi="Arial" w:cs="Arial"/>
          <w:sz w:val="16"/>
          <w:szCs w:val="16"/>
          <w:lang w:val="en-US"/>
        </w:rPr>
        <w:t xml:space="preserve"> dalam negeri maupun </w:t>
      </w:r>
      <w:r>
        <w:rPr>
          <w:rFonts w:ascii="Arial" w:hAnsi="Arial" w:cs="Arial"/>
          <w:sz w:val="16"/>
          <w:szCs w:val="16"/>
        </w:rPr>
        <w:t>rekening luar negeri. Namun sekali lagi, hal ini tunduk pada apa yang diperbolehkan di yurisdiksi Proyek terkait, karena beberapa yurisdiksi dapat membatasi kemampuan Perusahaan Proyek untuk mengelola rekening</w:t>
      </w:r>
      <w:r>
        <w:rPr>
          <w:rFonts w:ascii="Arial" w:hAnsi="Arial" w:cs="Arial"/>
          <w:sz w:val="16"/>
          <w:szCs w:val="16"/>
          <w:lang w:val="en-US"/>
        </w:rPr>
        <w:t>-</w:t>
      </w:r>
      <w:r>
        <w:rPr>
          <w:rFonts w:ascii="Arial" w:hAnsi="Arial" w:cs="Arial"/>
          <w:sz w:val="16"/>
          <w:szCs w:val="16"/>
        </w:rPr>
        <w:t>rekening luar negeri tanpa adanya izin-izin khusus, yang mungkin atau mungkin tidak dapat diperoleh dengan mudah.</w:t>
      </w:r>
    </w:p>
  </w:footnote>
  <w:footnote w:id="1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Ini adalah bank (atau bank-bank) yang menerbitkan setiap </w:t>
      </w:r>
      <w:r>
        <w:rPr>
          <w:rFonts w:ascii="Arial" w:hAnsi="Arial" w:cs="Arial"/>
          <w:i/>
          <w:iCs/>
          <w:sz w:val="16"/>
          <w:szCs w:val="16"/>
        </w:rPr>
        <w:t>letter of credit</w:t>
      </w:r>
      <w:r>
        <w:rPr>
          <w:rFonts w:ascii="Arial" w:hAnsi="Arial" w:cs="Arial"/>
          <w:sz w:val="16"/>
          <w:szCs w:val="16"/>
        </w:rPr>
        <w:t xml:space="preserve"> (L/C) yang diterbitkan berdasarkan L/C atau fasilitas-fasilitas modal kerja yang merupakan bagian dari pembiayaan senior. Hal ini tidak termasuk penerbit-penerbit L/C dari L/C atau dukungan kredit lainnya yang dikeluarkan untuk kepentingan Para Sponsor, bahkan jika diterbitkan atas nama Perusahaan Proyek. Hal ini juga dikenal sebagai </w:t>
      </w:r>
      <w:r>
        <w:rPr>
          <w:rFonts w:ascii="Arial" w:hAnsi="Arial" w:cs="Arial"/>
          <w:i/>
          <w:iCs/>
          <w:sz w:val="16"/>
          <w:szCs w:val="16"/>
        </w:rPr>
        <w:t>Fronting Bank</w:t>
      </w:r>
      <w:r>
        <w:rPr>
          <w:rFonts w:ascii="Arial" w:hAnsi="Arial" w:cs="Arial"/>
          <w:sz w:val="16"/>
          <w:szCs w:val="16"/>
        </w:rPr>
        <w:t xml:space="preserve"> atau </w:t>
      </w:r>
      <w:r>
        <w:rPr>
          <w:rFonts w:ascii="Arial" w:hAnsi="Arial" w:cs="Arial"/>
          <w:i/>
          <w:iCs/>
          <w:sz w:val="16"/>
          <w:szCs w:val="16"/>
        </w:rPr>
        <w:t>L/C Fronting Bank</w:t>
      </w:r>
      <w:r>
        <w:rPr>
          <w:rFonts w:ascii="Arial" w:hAnsi="Arial" w:cs="Arial"/>
          <w:sz w:val="16"/>
          <w:szCs w:val="16"/>
        </w:rPr>
        <w:t>.</w:t>
      </w:r>
    </w:p>
  </w:footnote>
  <w:footnote w:id="14">
    <w:p>
      <w:pPr>
        <w:pStyle w:val="26"/>
        <w:tabs>
          <w:tab w:val="left" w:pos="426"/>
        </w:tabs>
        <w:spacing w:after="60"/>
        <w:ind w:left="426" w:hanging="426"/>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bookmarkStart w:id="321" w:name="_Hlk31117208"/>
      <w:r>
        <w:rPr>
          <w:rFonts w:ascii="Arial" w:hAnsi="Arial" w:cs="Arial"/>
          <w:sz w:val="16"/>
          <w:szCs w:val="16"/>
          <w:lang w:val="en-US"/>
        </w:rPr>
        <w:t>Jika terdapat kelompok Kreditur yang besar, berbagai bank-bank peran dapat ditunjuk untuk mengoordinasikan uji tuntas atau alur kerja pembiayaan yang berbeda, tergantung pada kebutuhan transaksi.</w:t>
      </w:r>
      <w:bookmarkEnd w:id="321"/>
    </w:p>
  </w:footnote>
  <w:footnote w:id="1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Bank Dokumentasi dapat ditunjuk untuk merundingkan Dokumen-dokumen Pembiayaan atas nama Para Kreditur atau bagian dari Para Kreditur.</w:t>
      </w:r>
    </w:p>
  </w:footnote>
  <w:footnote w:id="1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Peran Bank Teknis adalah</w:t>
      </w:r>
      <w:r>
        <w:rPr>
          <w:rFonts w:ascii="Arial" w:hAnsi="Arial" w:cs="Arial"/>
          <w:sz w:val="16"/>
          <w:szCs w:val="16"/>
          <w:lang w:val="en-US"/>
        </w:rPr>
        <w:t xml:space="preserve"> </w:t>
      </w:r>
      <w:r>
        <w:rPr>
          <w:rFonts w:ascii="Arial" w:hAnsi="Arial" w:cs="Arial"/>
          <w:sz w:val="16"/>
          <w:szCs w:val="16"/>
        </w:rPr>
        <w:t>bertindak sebagai koordinator dari Para Kreditur sehubungan dengan konsultasi-konsultasi yang melibatkan Perusahaan Proyek dan Penasihat Teknis.</w:t>
      </w:r>
    </w:p>
  </w:footnote>
  <w:footnote w:id="1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Peran Bank Lingkungan Hidup adalah</w:t>
      </w:r>
      <w:r>
        <w:rPr>
          <w:rFonts w:ascii="Arial" w:hAnsi="Arial" w:cs="Arial"/>
          <w:sz w:val="16"/>
          <w:szCs w:val="16"/>
          <w:lang w:val="en-US"/>
        </w:rPr>
        <w:t xml:space="preserve"> </w:t>
      </w:r>
      <w:r>
        <w:rPr>
          <w:rFonts w:ascii="Arial" w:hAnsi="Arial" w:cs="Arial"/>
          <w:sz w:val="16"/>
          <w:szCs w:val="16"/>
        </w:rPr>
        <w:t>bertindak sebagai koordinator dari Para Kreditur sehubungan dengan konsultasi-konsultasi yang melibatkan Perusahaan Proyek dan Penasihat Lingkungan Hidup dan Sosial.</w:t>
      </w:r>
    </w:p>
  </w:footnote>
  <w:footnote w:id="1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Peran Bank Asuransi adalah</w:t>
      </w:r>
      <w:r>
        <w:rPr>
          <w:rFonts w:ascii="Arial" w:hAnsi="Arial" w:cs="Arial"/>
          <w:sz w:val="16"/>
          <w:szCs w:val="16"/>
          <w:lang w:val="en-US"/>
        </w:rPr>
        <w:t xml:space="preserve"> </w:t>
      </w:r>
      <w:r>
        <w:rPr>
          <w:rFonts w:ascii="Arial" w:hAnsi="Arial" w:cs="Arial"/>
          <w:sz w:val="16"/>
          <w:szCs w:val="16"/>
        </w:rPr>
        <w:t>bertindak sebagai koordinator dari Para Kreditur sehubungan dengan konsultasi-konsultasi yang melibatkan Perusahaan Proyek dan Penasihat Asuransi.</w:t>
      </w:r>
    </w:p>
  </w:footnote>
  <w:footnote w:id="1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Bank Koordinasi Lindung Nilai umumnya bertanggung jawab untuk bekerja sama dengan Perusahaan Proyek untuk menyelesaikan strategi lindung nilai dan mencapai kesepakatan tentang bagaimana proses melakukan pengaturan-pengaturan lindung nilai yang disyaratkan. Pada beberapa proyek, dapat disepakati bahwa satu atau dua bank (dikenal sebagai Para </w:t>
      </w:r>
      <w:r>
        <w:rPr>
          <w:rFonts w:ascii="Arial" w:hAnsi="Arial" w:cs="Arial"/>
          <w:i/>
          <w:iCs/>
          <w:sz w:val="16"/>
          <w:szCs w:val="16"/>
          <w:lang w:val="en-US"/>
        </w:rPr>
        <w:t>Arranger</w:t>
      </w:r>
      <w:r>
        <w:rPr>
          <w:rFonts w:ascii="Arial" w:hAnsi="Arial" w:cs="Arial"/>
          <w:sz w:val="16"/>
          <w:szCs w:val="16"/>
          <w:lang w:val="en-US"/>
        </w:rPr>
        <w:t xml:space="preserve"> </w:t>
      </w:r>
      <w:r>
        <w:rPr>
          <w:rFonts w:ascii="Arial" w:hAnsi="Arial" w:cs="Arial"/>
          <w:sz w:val="16"/>
          <w:szCs w:val="16"/>
        </w:rPr>
        <w:t>Lindung Nilai) akan membuat dan menandatangani lindung nilai pada awalnya, dengan novasi-novasi berikutnya ke Bank-bank Lindung Nilai lainnya.</w:t>
      </w:r>
    </w:p>
  </w:footnote>
  <w:footnote w:id="2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Peran </w:t>
      </w:r>
      <w:r>
        <w:rPr>
          <w:rFonts w:ascii="Arial" w:hAnsi="Arial" w:cs="Arial"/>
          <w:i/>
          <w:iCs/>
          <w:sz w:val="16"/>
          <w:szCs w:val="16"/>
        </w:rPr>
        <w:t>Modelling Bank</w:t>
      </w:r>
      <w:r>
        <w:rPr>
          <w:rFonts w:ascii="Arial" w:hAnsi="Arial" w:cs="Arial"/>
          <w:sz w:val="16"/>
          <w:szCs w:val="16"/>
        </w:rPr>
        <w:t xml:space="preserve"> adalah bertindak sebagai koordinator dari Para Kreditur sehubungan dengan konsultasi-konsultasi yang melibatkan Perusahaan Proyek dan </w:t>
      </w:r>
      <w:r>
        <w:rPr>
          <w:rFonts w:ascii="Arial" w:hAnsi="Arial" w:cs="Arial"/>
          <w:i/>
          <w:iCs/>
          <w:sz w:val="16"/>
          <w:szCs w:val="16"/>
        </w:rPr>
        <w:t>Model Auditor</w:t>
      </w:r>
      <w:r>
        <w:rPr>
          <w:rFonts w:ascii="Arial" w:hAnsi="Arial" w:cs="Arial"/>
          <w:sz w:val="16"/>
          <w:szCs w:val="16"/>
        </w:rPr>
        <w:t>.</w:t>
      </w:r>
    </w:p>
  </w:footnote>
  <w:footnote w:id="2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Seluruh penasihat yang ditunjuk oleh Para Kreditur agar dicantumkan di sini.  Ini adalah daftar yang disarankan, tetapi akan ada </w:t>
      </w:r>
      <w:r>
        <w:rPr>
          <w:rFonts w:ascii="Arial" w:hAnsi="Arial" w:cs="Arial"/>
          <w:sz w:val="16"/>
          <w:szCs w:val="16"/>
          <w:lang w:val="en-US"/>
        </w:rPr>
        <w:t xml:space="preserve">perubahan-perubahan </w:t>
      </w:r>
      <w:r>
        <w:rPr>
          <w:rFonts w:ascii="Arial" w:hAnsi="Arial" w:cs="Arial"/>
          <w:sz w:val="16"/>
          <w:szCs w:val="16"/>
        </w:rPr>
        <w:t>tergantung pada proyek.</w:t>
      </w:r>
    </w:p>
  </w:footnote>
  <w:footnote w:id="2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Tergantung pada proyek, penasihat-penasihat lain dapat ditunjuk untuk bidang-bidang seperti: (1) pasar (misalnya jika pendapatan yang dihasilkan oleh Proyek bergantung pada pasar); (2) bahan bakar atau bahan </w:t>
      </w:r>
      <w:r>
        <w:rPr>
          <w:rFonts w:ascii="Arial" w:hAnsi="Arial" w:cs="Arial"/>
          <w:sz w:val="16"/>
          <w:szCs w:val="16"/>
          <w:lang w:val="en-US"/>
        </w:rPr>
        <w:t xml:space="preserve">baku </w:t>
      </w:r>
      <w:r>
        <w:rPr>
          <w:rFonts w:ascii="Arial" w:hAnsi="Arial" w:cs="Arial"/>
          <w:sz w:val="16"/>
          <w:szCs w:val="16"/>
        </w:rPr>
        <w:t>(misalnya jika pendapatan untuk Proyek tidak diatur berdasarkan kontrak jangka panjang); (3) lalu lintas (misalnya untuk proyek</w:t>
      </w:r>
      <w:r>
        <w:rPr>
          <w:rFonts w:ascii="Arial" w:hAnsi="Arial" w:cs="Arial"/>
          <w:sz w:val="16"/>
          <w:szCs w:val="16"/>
          <w:lang w:val="en-US"/>
        </w:rPr>
        <w:t>-</w:t>
      </w:r>
      <w:r>
        <w:rPr>
          <w:rFonts w:ascii="Arial" w:hAnsi="Arial" w:cs="Arial"/>
          <w:sz w:val="16"/>
          <w:szCs w:val="16"/>
        </w:rPr>
        <w:t xml:space="preserve">proyek yang pendapatannya bergantung pada arus lalu lintas); (4) sumber daya alam (misalnya pada proyek pertambangan atau </w:t>
      </w:r>
      <w:r>
        <w:rPr>
          <w:rFonts w:ascii="Arial" w:hAnsi="Arial" w:cs="Arial"/>
          <w:sz w:val="16"/>
          <w:szCs w:val="16"/>
          <w:lang w:val="en-US"/>
        </w:rPr>
        <w:t xml:space="preserve">sektor </w:t>
      </w:r>
      <w:r>
        <w:rPr>
          <w:rFonts w:ascii="Arial" w:hAnsi="Arial" w:cs="Arial"/>
          <w:sz w:val="16"/>
          <w:szCs w:val="16"/>
        </w:rPr>
        <w:t>hulu minyak dan gas</w:t>
      </w:r>
      <w:r>
        <w:rPr>
          <w:rFonts w:ascii="Arial" w:hAnsi="Arial" w:cs="Arial"/>
          <w:sz w:val="16"/>
          <w:szCs w:val="16"/>
          <w:lang w:val="en-US"/>
        </w:rPr>
        <w:t xml:space="preserve"> bumi</w:t>
      </w:r>
      <w:r>
        <w:rPr>
          <w:rFonts w:ascii="Arial" w:hAnsi="Arial" w:cs="Arial"/>
          <w:sz w:val="16"/>
          <w:szCs w:val="16"/>
        </w:rPr>
        <w:t>, laporan cadangan dan laporan kelayakan mungkin diperlukan; pada proyek tenaga angin, advis mengenai hasil energi mungkin diperlukan).</w:t>
      </w:r>
    </w:p>
  </w:footnote>
  <w:footnote w:id="2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Sertakan jenis-jenis </w:t>
      </w:r>
      <w:r>
        <w:rPr>
          <w:rFonts w:ascii="Arial" w:hAnsi="Arial" w:cs="Arial"/>
          <w:sz w:val="16"/>
          <w:szCs w:val="16"/>
          <w:lang w:val="en-US"/>
        </w:rPr>
        <w:t xml:space="preserve">dari </w:t>
      </w:r>
      <w:r>
        <w:rPr>
          <w:rFonts w:ascii="Arial" w:hAnsi="Arial" w:cs="Arial"/>
          <w:sz w:val="16"/>
          <w:szCs w:val="16"/>
        </w:rPr>
        <w:t xml:space="preserve">fasilitas-fasilitas yang akan disyaratkan untuk Proyek. </w:t>
      </w:r>
    </w:p>
  </w:footnote>
  <w:footnote w:id="24">
    <w:p>
      <w:pPr>
        <w:pStyle w:val="26"/>
        <w:tabs>
          <w:tab w:val="left" w:pos="426"/>
        </w:tabs>
        <w:spacing w:after="60"/>
        <w:ind w:left="426" w:hanging="426"/>
        <w:rPr>
          <w:rFonts w:ascii="Arial" w:hAnsi="Arial" w:cs="Arial"/>
          <w:sz w:val="16"/>
          <w:szCs w:val="16"/>
        </w:rPr>
      </w:pPr>
      <w:r>
        <w:rPr>
          <w:rFonts w:ascii="Arial" w:hAnsi="Arial" w:cs="Arial"/>
          <w:sz w:val="16"/>
          <w:szCs w:val="16"/>
          <w:vertAlign w:val="superscript"/>
        </w:rPr>
        <w:footnoteRef/>
      </w:r>
      <w:r>
        <w:rPr>
          <w:rFonts w:ascii="Arial" w:hAnsi="Arial" w:cs="Arial"/>
          <w:sz w:val="16"/>
          <w:szCs w:val="16"/>
          <w:vertAlign w:val="superscript"/>
        </w:rPr>
        <w:t xml:space="preserve"> </w:t>
      </w:r>
      <w:r>
        <w:rPr>
          <w:rFonts w:ascii="Arial" w:hAnsi="Arial" w:cs="Arial"/>
          <w:sz w:val="16"/>
          <w:szCs w:val="16"/>
        </w:rPr>
        <w:tab/>
      </w:r>
      <w:r>
        <w:rPr>
          <w:rFonts w:ascii="Arial" w:hAnsi="Arial" w:cs="Arial"/>
          <w:sz w:val="16"/>
          <w:szCs w:val="16"/>
        </w:rPr>
        <w:t xml:space="preserve">Pada banyak proyek, modal kerja tidak akan disyaratkan sampai periode operasional (atau setidaknya, persyaratan-persyaratan modal kerja akan minimal sebelum periode operasional). Oleh karena itu, para debitur dapat memilih untuk tidak </w:t>
      </w:r>
      <w:r>
        <w:rPr>
          <w:rFonts w:ascii="Arial" w:hAnsi="Arial" w:cs="Arial"/>
          <w:sz w:val="16"/>
          <w:szCs w:val="16"/>
          <w:lang w:val="en-US"/>
        </w:rPr>
        <w:t xml:space="preserve">membuat dan menandatangani </w:t>
      </w:r>
      <w:r>
        <w:rPr>
          <w:rFonts w:ascii="Arial" w:hAnsi="Arial" w:cs="Arial"/>
          <w:sz w:val="16"/>
          <w:szCs w:val="16"/>
        </w:rPr>
        <w:t xml:space="preserve">fasilitas modal kerja sampai periode operasional dimulai. Persyaratan-persyaratan modal kerja dalam hal apa pun akan ditentukan melalui </w:t>
      </w:r>
      <w:r>
        <w:rPr>
          <w:rFonts w:ascii="Arial" w:hAnsi="Arial" w:cs="Arial"/>
          <w:i/>
          <w:iCs/>
          <w:sz w:val="16"/>
          <w:szCs w:val="16"/>
        </w:rPr>
        <w:t>Financial Model</w:t>
      </w:r>
      <w:r>
        <w:rPr>
          <w:rFonts w:ascii="Arial" w:hAnsi="Arial" w:cs="Arial"/>
          <w:sz w:val="16"/>
          <w:szCs w:val="16"/>
        </w:rPr>
        <w:t xml:space="preserve"> dan kesepakatan-kesepakatan yang sesuai untuk proyek tertentu harus disepakati antara para pihak.</w:t>
      </w:r>
    </w:p>
  </w:footnote>
  <w:footnote w:id="2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ab/>
      </w:r>
      <w:r>
        <w:rPr>
          <w:rFonts w:ascii="Arial" w:hAnsi="Arial" w:cs="Arial"/>
          <w:sz w:val="16"/>
          <w:szCs w:val="16"/>
        </w:rPr>
        <w:tab/>
      </w:r>
      <w:r>
        <w:rPr>
          <w:rFonts w:ascii="Arial" w:hAnsi="Arial" w:cs="Arial"/>
          <w:sz w:val="16"/>
          <w:szCs w:val="16"/>
        </w:rPr>
        <w:t xml:space="preserve">Hal ini akan menyediakan dana darurat untuk menutupi pembengkakan biaya yang tidak terduga selama periode konstruksi. </w:t>
      </w:r>
    </w:p>
  </w:footnote>
  <w:footnote w:id="2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ab/>
      </w:r>
      <w:r>
        <w:rPr>
          <w:rFonts w:ascii="Arial" w:hAnsi="Arial" w:cs="Arial"/>
          <w:sz w:val="16"/>
          <w:szCs w:val="16"/>
        </w:rPr>
        <w:tab/>
      </w:r>
      <w:r>
        <w:rPr>
          <w:rFonts w:ascii="Arial" w:hAnsi="Arial" w:cs="Arial"/>
          <w:sz w:val="16"/>
          <w:szCs w:val="16"/>
        </w:rPr>
        <w:t>Hal ini berarti nilai pinjaman lebih tinggi daripada kredit dari Para Sponsor (sehingga Para Sponsor tidak perlu menyuntikkan ekuitas sampai nanti – lihat catatan kaki 32) dan dapat distruktur</w:t>
      </w:r>
      <w:r>
        <w:rPr>
          <w:rFonts w:ascii="Arial" w:hAnsi="Arial" w:cs="Arial"/>
          <w:sz w:val="16"/>
          <w:szCs w:val="16"/>
          <w:lang w:val="en-US"/>
        </w:rPr>
        <w:t xml:space="preserve">isasi </w:t>
      </w:r>
      <w:r>
        <w:rPr>
          <w:rFonts w:ascii="Arial" w:hAnsi="Arial" w:cs="Arial"/>
          <w:sz w:val="16"/>
          <w:szCs w:val="16"/>
        </w:rPr>
        <w:t xml:space="preserve">sebagai pinjaman kepada Perusahaan Proyek atau Para Sponsor. Opsi dalam </w:t>
      </w:r>
      <w:r>
        <w:rPr>
          <w:rFonts w:ascii="Arial" w:hAnsi="Arial" w:cs="Arial"/>
          <w:i/>
          <w:iCs/>
          <w:sz w:val="16"/>
          <w:szCs w:val="16"/>
        </w:rPr>
        <w:t>template</w:t>
      </w:r>
      <w:r>
        <w:rPr>
          <w:rFonts w:ascii="Arial" w:hAnsi="Arial" w:cs="Arial"/>
          <w:sz w:val="16"/>
          <w:szCs w:val="16"/>
        </w:rPr>
        <w:t xml:space="preserve"> ini mengasumsikan bahwa Fasilitas Talangan Ekuitas distruktur</w:t>
      </w:r>
      <w:r>
        <w:rPr>
          <w:rFonts w:ascii="Arial" w:hAnsi="Arial" w:cs="Arial"/>
          <w:sz w:val="16"/>
          <w:szCs w:val="16"/>
          <w:lang w:val="en-US"/>
        </w:rPr>
        <w:t xml:space="preserve">isasi </w:t>
      </w:r>
      <w:r>
        <w:rPr>
          <w:rFonts w:ascii="Arial" w:hAnsi="Arial" w:cs="Arial"/>
          <w:sz w:val="16"/>
          <w:szCs w:val="16"/>
        </w:rPr>
        <w:t>sebagai pinjaman kepada Perusahaan Proyek yang kemudian dijaminkan (secara terpisah) oleh masing-masing Sponsor. Apakah biaya-biaya pembiayaan sehubungan dengan Fasilitas Talangan Ekuitas (</w:t>
      </w:r>
      <w:r>
        <w:rPr>
          <w:rFonts w:ascii="Arial" w:hAnsi="Arial" w:cs="Arial"/>
          <w:i/>
          <w:iCs/>
          <w:sz w:val="16"/>
          <w:szCs w:val="16"/>
        </w:rPr>
        <w:t>Equity Bridge Facility</w:t>
      </w:r>
      <w:r>
        <w:rPr>
          <w:rFonts w:ascii="Arial" w:hAnsi="Arial" w:cs="Arial"/>
          <w:sz w:val="16"/>
          <w:szCs w:val="16"/>
        </w:rPr>
        <w:t>) akan dimasukkan ke dalam "Biaya-bia</w:t>
      </w:r>
      <w:r>
        <w:rPr>
          <w:rFonts w:ascii="Arial" w:hAnsi="Arial" w:cs="Arial"/>
          <w:sz w:val="16"/>
          <w:szCs w:val="16"/>
          <w:lang w:val="en-US"/>
        </w:rPr>
        <w:t>y</w:t>
      </w:r>
      <w:r>
        <w:rPr>
          <w:rFonts w:ascii="Arial" w:hAnsi="Arial" w:cs="Arial"/>
          <w:sz w:val="16"/>
          <w:szCs w:val="16"/>
        </w:rPr>
        <w:t xml:space="preserve">a Proyek" bergantung pada negosiasi meskipun cukup umum dan dalam beberapa hal tunduk pada batas yang ditentukan berdasarkan </w:t>
      </w:r>
      <w:r>
        <w:rPr>
          <w:rFonts w:ascii="Arial" w:hAnsi="Arial" w:cs="Arial"/>
          <w:i/>
          <w:iCs/>
          <w:sz w:val="16"/>
          <w:szCs w:val="16"/>
        </w:rPr>
        <w:t>Financial Model</w:t>
      </w:r>
      <w:r>
        <w:rPr>
          <w:rFonts w:ascii="Arial" w:hAnsi="Arial" w:cs="Arial"/>
          <w:sz w:val="16"/>
          <w:szCs w:val="16"/>
        </w:rPr>
        <w:t>.</w:t>
      </w:r>
    </w:p>
  </w:footnote>
  <w:footnote w:id="2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ab/>
      </w:r>
      <w:r>
        <w:rPr>
          <w:rFonts w:ascii="Arial" w:hAnsi="Arial" w:cs="Arial"/>
          <w:sz w:val="16"/>
          <w:szCs w:val="16"/>
        </w:rPr>
        <w:t xml:space="preserve">Jika lembaga-lembaga kredit ekspor (ECA) terlibat dalam pembiayaan untuk suatu proyek (baik melalui penyediaan pendanaan secara langsung atau pertanggungan berdasarkan polis asuransi atau penanggungan), umumnya akan ada perjanjian fasilitas terpisah untuk setiap ECA yang akan berisi mekanisme-mekanisme pencairan khusus untuk ECA tersebut, sedangkan ketentuan-ketentuan pembiayaan umum yang kerap dijumpai untuk fasilitas/-fasilitas ECA dan </w:t>
      </w:r>
      <w:r>
        <w:rPr>
          <w:rFonts w:ascii="Arial" w:hAnsi="Arial" w:cs="Arial"/>
          <w:sz w:val="16"/>
          <w:szCs w:val="16"/>
          <w:lang w:val="en-US"/>
        </w:rPr>
        <w:t>kelompok-kelompok</w:t>
      </w:r>
      <w:r>
        <w:rPr>
          <w:rFonts w:ascii="Arial" w:hAnsi="Arial" w:cs="Arial"/>
          <w:sz w:val="16"/>
          <w:szCs w:val="16"/>
        </w:rPr>
        <w:t xml:space="preserve"> Kreditur lain manapun akan diatur dalam Perjanjian Ketentuan-ketentuan Umum. Umumnya, ECA yang memberikan pertanggungan (alih-alih pendanaan secara langsung) tidak akan menjadi pihak dalam Dokumen-dokumen Pembiayaan (selain polis-polis asuransinya atau penanggungan-penanggungannya).</w:t>
      </w:r>
    </w:p>
  </w:footnote>
  <w:footnote w:id="28">
    <w:p>
      <w:pPr>
        <w:pStyle w:val="26"/>
        <w:tabs>
          <w:tab w:val="left" w:pos="426"/>
          <w:tab w:val="clear" w:pos="113"/>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Lembaga-lembaga pembiayaan pembangunan (DFI) sering terlibat dalam pembiayaan proyek (baik melalui penyediaan pendanaan langsung atau pertanggungan berdasarkan polis asuransi atau penanggungan) yang dilakukan oleh sektor swasta untuk mendukung pembangunan ekonomi di pasar-pasar berkembang. DFI juga dapat menawarkan bentuk dukungan lain tergantung pada sifat dan kebutuhan proyek, seperti investasi ekuitas atau produk-produk kuasi-ekuitas (misalnya pembiayaan </w:t>
      </w:r>
      <w:r>
        <w:rPr>
          <w:rFonts w:ascii="Arial" w:hAnsi="Arial" w:cs="Arial"/>
          <w:i/>
          <w:iCs/>
          <w:sz w:val="16"/>
          <w:szCs w:val="16"/>
        </w:rPr>
        <w:t>mezzanine</w:t>
      </w:r>
      <w:r>
        <w:rPr>
          <w:rFonts w:ascii="Arial" w:hAnsi="Arial" w:cs="Arial"/>
          <w:sz w:val="16"/>
          <w:szCs w:val="16"/>
        </w:rPr>
        <w:t>).</w:t>
      </w:r>
    </w:p>
  </w:footnote>
  <w:footnote w:id="2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ab/>
      </w:r>
      <w:r>
        <w:rPr>
          <w:rFonts w:ascii="Arial" w:hAnsi="Arial" w:cs="Arial"/>
          <w:sz w:val="16"/>
          <w:szCs w:val="16"/>
        </w:rPr>
        <w:tab/>
      </w:r>
      <w:r>
        <w:rPr>
          <w:rFonts w:ascii="Arial" w:hAnsi="Arial" w:cs="Arial"/>
          <w:sz w:val="16"/>
          <w:szCs w:val="16"/>
        </w:rPr>
        <w:t>Pada beberapa proyek, fasilitas PPN/ Pajak Barang dan Jasa (</w:t>
      </w:r>
      <w:r>
        <w:rPr>
          <w:rFonts w:ascii="Arial" w:hAnsi="Arial" w:cs="Arial"/>
          <w:i/>
          <w:iCs/>
          <w:sz w:val="16"/>
          <w:szCs w:val="16"/>
        </w:rPr>
        <w:t>GST</w:t>
      </w:r>
      <w:r>
        <w:rPr>
          <w:rFonts w:ascii="Arial" w:hAnsi="Arial" w:cs="Arial"/>
          <w:sz w:val="16"/>
          <w:szCs w:val="16"/>
        </w:rPr>
        <w:t>) disediakan untuk ‘menalangi’ pembayaran-pembayaran PPN/Pajak Barang dan Jasa (</w:t>
      </w:r>
      <w:r>
        <w:rPr>
          <w:rFonts w:ascii="Arial" w:hAnsi="Arial" w:cs="Arial"/>
          <w:i/>
          <w:iCs/>
          <w:sz w:val="16"/>
          <w:szCs w:val="16"/>
        </w:rPr>
        <w:t>GST</w:t>
      </w:r>
      <w:r>
        <w:rPr>
          <w:rFonts w:ascii="Arial" w:hAnsi="Arial" w:cs="Arial"/>
          <w:sz w:val="16"/>
          <w:szCs w:val="16"/>
        </w:rPr>
        <w:t>) yang selanjutnya dapat diklaim oleh Perusahaan Proyek. Tergantung pada prosedur pengembalian PPN/Pajak Barang dan Jasa (</w:t>
      </w:r>
      <w:r>
        <w:rPr>
          <w:rFonts w:ascii="Arial" w:hAnsi="Arial" w:cs="Arial"/>
          <w:i/>
          <w:iCs/>
          <w:sz w:val="16"/>
          <w:szCs w:val="16"/>
        </w:rPr>
        <w:t>GST</w:t>
      </w:r>
      <w:r>
        <w:rPr>
          <w:rFonts w:ascii="Arial" w:hAnsi="Arial" w:cs="Arial"/>
          <w:sz w:val="16"/>
          <w:szCs w:val="16"/>
        </w:rPr>
        <w:t>) di yurisdiksi terkait, hal ini dapat distruktur</w:t>
      </w:r>
      <w:r>
        <w:rPr>
          <w:rFonts w:ascii="Arial" w:hAnsi="Arial" w:cs="Arial"/>
          <w:sz w:val="16"/>
          <w:szCs w:val="16"/>
          <w:lang w:val="en-US"/>
        </w:rPr>
        <w:t xml:space="preserve">isasi </w:t>
      </w:r>
      <w:r>
        <w:rPr>
          <w:rFonts w:ascii="Arial" w:hAnsi="Arial" w:cs="Arial"/>
          <w:sz w:val="16"/>
          <w:szCs w:val="16"/>
        </w:rPr>
        <w:t>baik sebagai fasilitas bergulir (</w:t>
      </w:r>
      <w:r>
        <w:rPr>
          <w:rFonts w:ascii="Arial" w:hAnsi="Arial" w:cs="Arial"/>
          <w:i/>
          <w:iCs/>
          <w:sz w:val="16"/>
          <w:szCs w:val="16"/>
        </w:rPr>
        <w:t>revolving</w:t>
      </w:r>
      <w:r>
        <w:rPr>
          <w:rFonts w:ascii="Arial" w:hAnsi="Arial" w:cs="Arial"/>
          <w:sz w:val="16"/>
          <w:szCs w:val="16"/>
        </w:rPr>
        <w:t>) atau sebagai fasilitas berjangka. Dalam kedua hal tersebut,  akan dibayarkan kembali dari pengembalian PPN/Pajak Barang dan Jasa (</w:t>
      </w:r>
      <w:r>
        <w:rPr>
          <w:rFonts w:ascii="Arial" w:hAnsi="Arial" w:cs="Arial"/>
          <w:i/>
          <w:iCs/>
          <w:sz w:val="16"/>
          <w:szCs w:val="16"/>
        </w:rPr>
        <w:t>GST</w:t>
      </w:r>
      <w:r>
        <w:rPr>
          <w:rFonts w:ascii="Arial" w:hAnsi="Arial" w:cs="Arial"/>
          <w:sz w:val="16"/>
          <w:szCs w:val="16"/>
        </w:rPr>
        <w:t>) yang diterima oleh Perusahaan Proyek (dan memiliki prioritas di atas pengembalian-pengembalian dana tersebut dibandingkan dengan para kreditur senior lainnya).</w:t>
      </w:r>
    </w:p>
  </w:footnote>
  <w:footnote w:id="30">
    <w:p>
      <w:pPr>
        <w:pStyle w:val="26"/>
        <w:tabs>
          <w:tab w:val="left" w:pos="426"/>
        </w:tabs>
        <w:spacing w:after="60"/>
        <w:ind w:left="426" w:hanging="426"/>
        <w:rPr>
          <w:rFonts w:ascii="Arial" w:hAnsi="Arial" w:cs="Arial"/>
          <w:sz w:val="16"/>
          <w:szCs w:val="16"/>
        </w:rPr>
      </w:pPr>
      <w:r>
        <w:rPr>
          <w:rFonts w:ascii="Arial" w:hAnsi="Arial" w:cs="Arial"/>
          <w:sz w:val="16"/>
          <w:szCs w:val="16"/>
          <w:vertAlign w:val="superscript"/>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Contoh fasilitas-fasilitas lain yang dapat disediakan antara lain: </w:t>
      </w:r>
    </w:p>
    <w:p>
      <w:pPr>
        <w:pStyle w:val="49"/>
        <w:numPr>
          <w:ilvl w:val="0"/>
          <w:numId w:val="7"/>
        </w:numPr>
        <w:tabs>
          <w:tab w:val="left" w:pos="426"/>
        </w:tabs>
        <w:spacing w:after="60"/>
        <w:ind w:left="851" w:hanging="425"/>
        <w:rPr>
          <w:rFonts w:ascii="Arial" w:hAnsi="Arial" w:cs="Arial"/>
          <w:sz w:val="16"/>
          <w:szCs w:val="16"/>
        </w:rPr>
      </w:pPr>
      <w:r>
        <w:rPr>
          <w:rFonts w:ascii="Arial" w:hAnsi="Arial" w:cs="Arial"/>
          <w:sz w:val="16"/>
          <w:szCs w:val="16"/>
        </w:rPr>
        <w:t xml:space="preserve">Fasilitas L/C – mungkin terdapat kebutuhan fasilitas terpisah untuk menerbitkan </w:t>
      </w:r>
      <w:r>
        <w:rPr>
          <w:rFonts w:ascii="Arial" w:hAnsi="Arial" w:cs="Arial"/>
          <w:i/>
          <w:iCs/>
          <w:sz w:val="16"/>
          <w:szCs w:val="16"/>
        </w:rPr>
        <w:t>letter of credit</w:t>
      </w:r>
      <w:r>
        <w:rPr>
          <w:rFonts w:ascii="Arial" w:hAnsi="Arial" w:cs="Arial"/>
          <w:sz w:val="16"/>
          <w:szCs w:val="16"/>
        </w:rPr>
        <w:t xml:space="preserve"> dimana hal ini diperlukan sebagai bagian dari Proyek.</w:t>
      </w:r>
    </w:p>
    <w:p>
      <w:pPr>
        <w:pStyle w:val="49"/>
        <w:numPr>
          <w:ilvl w:val="0"/>
          <w:numId w:val="7"/>
        </w:numPr>
        <w:tabs>
          <w:tab w:val="left" w:pos="426"/>
        </w:tabs>
        <w:spacing w:after="60"/>
        <w:ind w:left="851" w:hanging="425"/>
        <w:rPr>
          <w:rFonts w:ascii="Arial" w:hAnsi="Arial" w:cs="Arial"/>
          <w:sz w:val="16"/>
          <w:szCs w:val="16"/>
        </w:rPr>
      </w:pPr>
      <w:r>
        <w:rPr>
          <w:rFonts w:ascii="Arial" w:hAnsi="Arial" w:cs="Arial"/>
          <w:sz w:val="16"/>
          <w:szCs w:val="16"/>
        </w:rPr>
        <w:t xml:space="preserve">Fasilitas </w:t>
      </w:r>
      <w:r>
        <w:rPr>
          <w:rFonts w:ascii="Arial" w:hAnsi="Arial" w:cs="Arial"/>
          <w:i/>
          <w:iCs/>
          <w:sz w:val="16"/>
          <w:szCs w:val="16"/>
        </w:rPr>
        <w:t>Mezzanine</w:t>
      </w:r>
      <w:r>
        <w:rPr>
          <w:rFonts w:ascii="Arial" w:hAnsi="Arial" w:cs="Arial"/>
          <w:sz w:val="16"/>
          <w:szCs w:val="16"/>
        </w:rPr>
        <w:t xml:space="preserve"> – suatu proyek mungkin melibatkan pendanaan </w:t>
      </w:r>
      <w:r>
        <w:rPr>
          <w:rFonts w:ascii="Arial" w:hAnsi="Arial" w:cs="Arial"/>
          <w:i/>
          <w:iCs/>
          <w:sz w:val="16"/>
          <w:szCs w:val="16"/>
        </w:rPr>
        <w:t>mezzanine</w:t>
      </w:r>
      <w:r>
        <w:rPr>
          <w:rFonts w:ascii="Arial" w:hAnsi="Arial" w:cs="Arial"/>
          <w:sz w:val="16"/>
          <w:szCs w:val="16"/>
        </w:rPr>
        <w:t xml:space="preserve"> jika terdapat kesenjangan pendanaan (yaitu kekurangan pendanaan utang senior yang tersedia dan jumlah ekuitas yang dapat ditingkatkan).  Para Kreditur </w:t>
      </w:r>
      <w:r>
        <w:rPr>
          <w:rFonts w:ascii="Arial" w:hAnsi="Arial" w:cs="Arial"/>
          <w:i/>
          <w:iCs/>
          <w:sz w:val="16"/>
          <w:szCs w:val="16"/>
        </w:rPr>
        <w:t>mezzanine</w:t>
      </w:r>
      <w:r>
        <w:rPr>
          <w:rFonts w:ascii="Arial" w:hAnsi="Arial" w:cs="Arial"/>
          <w:sz w:val="16"/>
          <w:szCs w:val="16"/>
        </w:rPr>
        <w:t xml:space="preserve"> akan disubordinasikan kepada Para Kreditur senior.</w:t>
      </w:r>
    </w:p>
    <w:p>
      <w:pPr>
        <w:pStyle w:val="49"/>
        <w:numPr>
          <w:ilvl w:val="0"/>
          <w:numId w:val="7"/>
        </w:numPr>
        <w:tabs>
          <w:tab w:val="left" w:pos="426"/>
        </w:tabs>
        <w:spacing w:after="60"/>
        <w:ind w:left="851" w:hanging="425"/>
        <w:rPr>
          <w:rFonts w:ascii="Arial" w:hAnsi="Arial" w:cs="Arial"/>
          <w:sz w:val="16"/>
          <w:szCs w:val="16"/>
        </w:rPr>
      </w:pPr>
      <w:r>
        <w:rPr>
          <w:rFonts w:ascii="Arial" w:hAnsi="Arial" w:cs="Arial"/>
          <w:sz w:val="16"/>
          <w:szCs w:val="16"/>
        </w:rPr>
        <w:t xml:space="preserve">Fasilitas Syariah – pada beberapa proyek, mungkin terdapat pembiayaan syariah selain pembiayaan bank internasional dan biasanya hal ini akan melibatkan penyusunan dokumen-dokumen bank komersial dan fasilitas syariah secara terpisah (dengan payung Perjanjian Ketentuan-ketentuan Umum dan </w:t>
      </w:r>
      <w:r>
        <w:rPr>
          <w:rFonts w:ascii="Arial" w:hAnsi="Arial" w:cs="Arial"/>
          <w:sz w:val="16"/>
          <w:szCs w:val="16"/>
          <w:lang w:val="en-AU"/>
        </w:rPr>
        <w:t xml:space="preserve">Akta Jaminan </w:t>
      </w:r>
      <w:r>
        <w:rPr>
          <w:rFonts w:ascii="Arial" w:hAnsi="Arial" w:cs="Arial"/>
          <w:i/>
          <w:iCs/>
          <w:sz w:val="16"/>
          <w:szCs w:val="16"/>
          <w:lang w:val="en-AU"/>
        </w:rPr>
        <w:t>Trust</w:t>
      </w:r>
      <w:r>
        <w:rPr>
          <w:rFonts w:ascii="Arial" w:hAnsi="Arial" w:cs="Arial"/>
          <w:sz w:val="16"/>
          <w:szCs w:val="16"/>
          <w:lang w:val="en-AU"/>
        </w:rPr>
        <w:t xml:space="preserve"> dan </w:t>
      </w:r>
      <w:r>
        <w:rPr>
          <w:rFonts w:ascii="Arial" w:hAnsi="Arial" w:cs="Arial"/>
          <w:sz w:val="16"/>
          <w:szCs w:val="16"/>
          <w:lang w:val="en-US"/>
        </w:rPr>
        <w:t>Antarkreditur</w:t>
      </w:r>
      <w:r>
        <w:rPr>
          <w:rFonts w:ascii="Arial" w:hAnsi="Arial" w:cs="Arial"/>
          <w:sz w:val="16"/>
          <w:szCs w:val="16"/>
        </w:rPr>
        <w:t xml:space="preserve">).  </w:t>
      </w:r>
    </w:p>
  </w:footnote>
  <w:footnote w:id="3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Rincian-rincian kontribusi Para Sponsor/Para Pemegang Saham melalui ekuitas akan dicantumkan di sini. Kewajiban-kewajiban kontribusi ekuitas umumnya akan dicantumkan dalam suatu perjanjian terpisah (misalnya Perjanjian Kontribusi Pemegang Saham dan Dukungan Sponsor, Perjanjian Kontribusi Ekuitas, Perjanjian Dukungan dan Retensi Ekuitas). Perjanjian ini juga akan berisi ketentuan-ketentuan yang mencakup janji-janji dan dukungan yang diberikan oleh Para Sponsor dan/atau Para Pemegang Saham sehubungan dengan Proyek, termasuk retensi saham, subordinasi dan janji-janji secara umum lainnya. Untuk keperluan daftar ketentuan ini, perjanjian tersebut disebut sebagai Perjanjian Kontribusi Pemegang Saham dan Dukungan Sponsor, namun pertimbangkan untuk memperbarui </w:t>
      </w:r>
      <w:r>
        <w:rPr>
          <w:rFonts w:ascii="Arial" w:hAnsi="Arial" w:cs="Arial"/>
          <w:sz w:val="16"/>
          <w:szCs w:val="16"/>
          <w:lang w:val="en-US"/>
        </w:rPr>
        <w:t xml:space="preserve">ketentuan </w:t>
      </w:r>
      <w:r>
        <w:rPr>
          <w:rFonts w:ascii="Arial" w:hAnsi="Arial" w:cs="Arial"/>
          <w:sz w:val="16"/>
          <w:szCs w:val="16"/>
        </w:rPr>
        <w:t>ini untuk transaksi Anda jika diperlukan. Setiap Fasilitas Talangan Ekuitas untuk (</w:t>
      </w:r>
      <w:r>
        <w:rPr>
          <w:rFonts w:ascii="Arial" w:hAnsi="Arial" w:cs="Arial"/>
          <w:i/>
          <w:iCs/>
          <w:sz w:val="16"/>
          <w:szCs w:val="16"/>
        </w:rPr>
        <w:t>Equity Bridge Facility</w:t>
      </w:r>
      <w:r>
        <w:rPr>
          <w:rFonts w:ascii="Arial" w:hAnsi="Arial" w:cs="Arial"/>
          <w:sz w:val="16"/>
          <w:szCs w:val="16"/>
        </w:rPr>
        <w:t>)</w:t>
      </w:r>
      <w:r>
        <w:rPr>
          <w:rFonts w:ascii="Arial" w:hAnsi="Arial" w:cs="Arial"/>
          <w:i/>
          <w:iCs/>
          <w:sz w:val="16"/>
          <w:szCs w:val="16"/>
        </w:rPr>
        <w:t xml:space="preserve"> </w:t>
      </w:r>
      <w:r>
        <w:rPr>
          <w:rFonts w:ascii="Arial" w:hAnsi="Arial" w:cs="Arial"/>
          <w:sz w:val="16"/>
          <w:szCs w:val="16"/>
        </w:rPr>
        <w:t>untuk Perusahaan Proyek akan disubordinasikan ke Fasilitas-fasilitas lain dan perlu diganti dengan Ekuitas Dasar dalam jangka waktu sebagaimana disepakati.</w:t>
      </w:r>
    </w:p>
    <w:p>
      <w:pPr>
        <w:pStyle w:val="49"/>
        <w:tabs>
          <w:tab w:val="left" w:pos="426"/>
        </w:tabs>
        <w:spacing w:after="60"/>
        <w:ind w:left="451" w:hanging="25"/>
        <w:rPr>
          <w:rFonts w:ascii="Arial" w:hAnsi="Arial" w:cs="Arial"/>
          <w:sz w:val="16"/>
          <w:szCs w:val="16"/>
        </w:rPr>
      </w:pPr>
      <w:r>
        <w:rPr>
          <w:rFonts w:ascii="Arial" w:hAnsi="Arial" w:cs="Arial"/>
          <w:sz w:val="16"/>
          <w:szCs w:val="16"/>
        </w:rPr>
        <w:t xml:space="preserve">Beberapa contoh </w:t>
      </w:r>
      <w:r>
        <w:rPr>
          <w:rFonts w:ascii="Arial" w:hAnsi="Arial" w:cs="Arial"/>
          <w:sz w:val="16"/>
          <w:szCs w:val="16"/>
          <w:lang w:val="en-US"/>
        </w:rPr>
        <w:t xml:space="preserve">susunan </w:t>
      </w:r>
      <w:r>
        <w:rPr>
          <w:rFonts w:ascii="Arial" w:hAnsi="Arial" w:cs="Arial"/>
          <w:sz w:val="16"/>
          <w:szCs w:val="16"/>
        </w:rPr>
        <w:t>kata</w:t>
      </w:r>
      <w:r>
        <w:rPr>
          <w:rFonts w:ascii="Arial" w:hAnsi="Arial" w:cs="Arial"/>
          <w:sz w:val="16"/>
          <w:szCs w:val="16"/>
          <w:lang w:val="en-US"/>
        </w:rPr>
        <w:t xml:space="preserve"> </w:t>
      </w:r>
      <w:r>
        <w:rPr>
          <w:rFonts w:ascii="Arial" w:hAnsi="Arial" w:cs="Arial"/>
          <w:sz w:val="16"/>
          <w:szCs w:val="16"/>
        </w:rPr>
        <w:t>telah disediakan, tetapi dalam setiap hal, poin-poin berikut ini harus dipertimbangkan:</w:t>
      </w:r>
    </w:p>
    <w:p>
      <w:pPr>
        <w:pStyle w:val="49"/>
        <w:numPr>
          <w:ilvl w:val="0"/>
          <w:numId w:val="8"/>
        </w:numPr>
        <w:tabs>
          <w:tab w:val="left" w:pos="426"/>
        </w:tabs>
        <w:spacing w:after="60"/>
        <w:ind w:left="851" w:hanging="425"/>
        <w:rPr>
          <w:rFonts w:ascii="Arial" w:hAnsi="Arial" w:cs="Arial"/>
          <w:sz w:val="16"/>
          <w:szCs w:val="16"/>
        </w:rPr>
      </w:pPr>
      <w:r>
        <w:rPr>
          <w:rFonts w:ascii="Arial" w:hAnsi="Arial" w:cs="Arial"/>
          <w:sz w:val="16"/>
          <w:szCs w:val="16"/>
          <w:lang w:val="en-US"/>
        </w:rPr>
        <w:t xml:space="preserve">apakah </w:t>
      </w:r>
      <w:r>
        <w:rPr>
          <w:rFonts w:ascii="Arial" w:hAnsi="Arial" w:cs="Arial"/>
          <w:sz w:val="16"/>
          <w:szCs w:val="16"/>
        </w:rPr>
        <w:t xml:space="preserve">semua ekuitas </w:t>
      </w:r>
      <w:r>
        <w:rPr>
          <w:rFonts w:ascii="Arial" w:hAnsi="Arial" w:cs="Arial"/>
          <w:sz w:val="16"/>
          <w:szCs w:val="16"/>
          <w:lang w:val="en-US"/>
        </w:rPr>
        <w:t xml:space="preserve">akan </w:t>
      </w:r>
      <w:r>
        <w:rPr>
          <w:rFonts w:ascii="Arial" w:hAnsi="Arial" w:cs="Arial"/>
          <w:sz w:val="16"/>
          <w:szCs w:val="16"/>
        </w:rPr>
        <w:t xml:space="preserve">didanai "dimuka", atau </w:t>
      </w:r>
      <w:r>
        <w:rPr>
          <w:rFonts w:ascii="Arial" w:hAnsi="Arial" w:cs="Arial"/>
          <w:sz w:val="16"/>
          <w:szCs w:val="16"/>
          <w:lang w:val="en-US"/>
        </w:rPr>
        <w:t xml:space="preserve">apakah ekuitas </w:t>
      </w:r>
      <w:r>
        <w:rPr>
          <w:rFonts w:ascii="Arial" w:hAnsi="Arial" w:cs="Arial"/>
          <w:sz w:val="16"/>
          <w:szCs w:val="16"/>
        </w:rPr>
        <w:t>akan</w:t>
      </w:r>
      <w:r>
        <w:rPr>
          <w:rFonts w:ascii="Arial" w:hAnsi="Arial" w:cs="Arial"/>
          <w:sz w:val="16"/>
          <w:szCs w:val="16"/>
          <w:lang w:val="en-US"/>
        </w:rPr>
        <w:t xml:space="preserve"> </w:t>
      </w:r>
      <w:r>
        <w:rPr>
          <w:rFonts w:ascii="Arial" w:hAnsi="Arial" w:cs="Arial"/>
          <w:sz w:val="16"/>
          <w:szCs w:val="16"/>
        </w:rPr>
        <w:t>dikontribusikan secara pro rata dengan Pe</w:t>
      </w:r>
      <w:r>
        <w:rPr>
          <w:rFonts w:ascii="Arial" w:hAnsi="Arial" w:cs="Arial"/>
          <w:sz w:val="16"/>
          <w:szCs w:val="16"/>
          <w:lang w:val="en-US"/>
        </w:rPr>
        <w:t xml:space="preserve">nggunaan </w:t>
      </w:r>
      <w:r>
        <w:rPr>
          <w:rFonts w:ascii="Arial" w:hAnsi="Arial" w:cs="Arial"/>
          <w:sz w:val="16"/>
          <w:szCs w:val="16"/>
        </w:rPr>
        <w:t>Pinjaman</w:t>
      </w:r>
      <w:r>
        <w:rPr>
          <w:rFonts w:ascii="Arial" w:hAnsi="Arial" w:cs="Arial"/>
          <w:sz w:val="16"/>
          <w:szCs w:val="16"/>
          <w:lang w:val="en-US"/>
        </w:rPr>
        <w:t>-pinjaman</w:t>
      </w:r>
      <w:r>
        <w:rPr>
          <w:rFonts w:ascii="Arial" w:hAnsi="Arial" w:cs="Arial"/>
          <w:sz w:val="16"/>
          <w:szCs w:val="16"/>
        </w:rPr>
        <w:t xml:space="preserve">, </w:t>
      </w:r>
      <w:r>
        <w:rPr>
          <w:rFonts w:ascii="Arial" w:hAnsi="Arial" w:cs="Arial"/>
          <w:sz w:val="16"/>
          <w:szCs w:val="16"/>
          <w:lang w:val="en-US"/>
        </w:rPr>
        <w:t>atau dibayar kemudian (</w:t>
      </w:r>
      <w:r>
        <w:rPr>
          <w:rFonts w:ascii="Arial" w:hAnsi="Arial" w:cs="Arial"/>
          <w:sz w:val="16"/>
          <w:szCs w:val="16"/>
        </w:rPr>
        <w:t xml:space="preserve">dan jika demikian, atau </w:t>
      </w:r>
      <w:r>
        <w:rPr>
          <w:rFonts w:ascii="Arial" w:hAnsi="Arial" w:cs="Arial"/>
          <w:sz w:val="16"/>
          <w:szCs w:val="16"/>
          <w:lang w:val="en-US"/>
        </w:rPr>
        <w:t xml:space="preserve">apakah ekuitas </w:t>
      </w:r>
      <w:r>
        <w:rPr>
          <w:rFonts w:ascii="Arial" w:hAnsi="Arial" w:cs="Arial"/>
          <w:sz w:val="16"/>
          <w:szCs w:val="16"/>
        </w:rPr>
        <w:t>akan</w:t>
      </w:r>
      <w:r>
        <w:rPr>
          <w:rFonts w:ascii="Arial" w:hAnsi="Arial" w:cs="Arial"/>
          <w:sz w:val="16"/>
          <w:szCs w:val="16"/>
          <w:lang w:val="en-US"/>
        </w:rPr>
        <w:t xml:space="preserve"> didukung oleh</w:t>
      </w:r>
      <w:r>
        <w:rPr>
          <w:rFonts w:ascii="Arial" w:hAnsi="Arial" w:cs="Arial"/>
          <w:sz w:val="16"/>
          <w:szCs w:val="16"/>
        </w:rPr>
        <w:t xml:space="preserve"> dukungan kredit, dan </w:t>
      </w:r>
      <w:r>
        <w:rPr>
          <w:rFonts w:ascii="Arial" w:hAnsi="Arial" w:cs="Arial"/>
          <w:sz w:val="16"/>
          <w:szCs w:val="16"/>
          <w:lang w:val="en-US"/>
        </w:rPr>
        <w:t>apakah Para Kreditur</w:t>
      </w:r>
      <w:r>
        <w:rPr>
          <w:rFonts w:ascii="Arial" w:hAnsi="Arial" w:cs="Arial"/>
          <w:sz w:val="16"/>
          <w:szCs w:val="16"/>
        </w:rPr>
        <w:t xml:space="preserve"> dapat</w:t>
      </w:r>
      <w:r>
        <w:rPr>
          <w:rFonts w:ascii="Arial" w:hAnsi="Arial" w:cs="Arial"/>
          <w:sz w:val="16"/>
          <w:szCs w:val="16"/>
          <w:lang w:val="en-US"/>
        </w:rPr>
        <w:t xml:space="preserve"> </w:t>
      </w:r>
      <w:r>
        <w:rPr>
          <w:rFonts w:ascii="Arial" w:hAnsi="Arial" w:cs="Arial"/>
          <w:sz w:val="16"/>
          <w:szCs w:val="16"/>
        </w:rPr>
        <w:t>'mempercepat' pembayaran</w:t>
      </w:r>
      <w:r>
        <w:rPr>
          <w:rFonts w:ascii="Arial" w:hAnsi="Arial" w:cs="Arial"/>
          <w:sz w:val="16"/>
          <w:szCs w:val="16"/>
          <w:lang w:val="en-US"/>
        </w:rPr>
        <w:t>-</w:t>
      </w:r>
      <w:r>
        <w:rPr>
          <w:rFonts w:ascii="Arial" w:hAnsi="Arial" w:cs="Arial"/>
          <w:sz w:val="16"/>
          <w:szCs w:val="16"/>
        </w:rPr>
        <w:t xml:space="preserve">pembayaran ekuitas setelah terjadinya </w:t>
      </w:r>
      <w:r>
        <w:rPr>
          <w:rFonts w:ascii="Arial" w:hAnsi="Arial" w:cs="Arial"/>
          <w:sz w:val="16"/>
          <w:szCs w:val="16"/>
          <w:lang w:val="en-US"/>
        </w:rPr>
        <w:t>Peristiwa Cedera Janji</w:t>
      </w:r>
      <w:r>
        <w:rPr>
          <w:rFonts w:ascii="Arial" w:hAnsi="Arial" w:cs="Arial"/>
          <w:sz w:val="16"/>
          <w:szCs w:val="16"/>
        </w:rPr>
        <w:t>) atau sesuai dengan jadwal angsuran kontribusi ekuitas;</w:t>
      </w:r>
    </w:p>
    <w:p>
      <w:pPr>
        <w:pStyle w:val="49"/>
        <w:numPr>
          <w:ilvl w:val="0"/>
          <w:numId w:val="8"/>
        </w:numPr>
        <w:tabs>
          <w:tab w:val="left" w:pos="426"/>
        </w:tabs>
        <w:spacing w:after="60"/>
        <w:ind w:left="851" w:hanging="425"/>
        <w:rPr>
          <w:rFonts w:ascii="Arial" w:hAnsi="Arial" w:cs="Arial"/>
          <w:sz w:val="16"/>
          <w:szCs w:val="16"/>
        </w:rPr>
      </w:pPr>
      <w:r>
        <w:rPr>
          <w:rFonts w:ascii="Arial" w:hAnsi="Arial" w:cs="Arial"/>
          <w:sz w:val="16"/>
          <w:szCs w:val="16"/>
          <w:lang w:val="en-US"/>
        </w:rPr>
        <w:t xml:space="preserve">jika </w:t>
      </w:r>
      <w:r>
        <w:rPr>
          <w:rFonts w:ascii="Arial" w:hAnsi="Arial" w:cs="Arial"/>
          <w:sz w:val="16"/>
          <w:szCs w:val="16"/>
        </w:rPr>
        <w:t xml:space="preserve">ekuitas akan </w:t>
      </w:r>
      <w:r>
        <w:rPr>
          <w:rFonts w:ascii="Arial" w:hAnsi="Arial" w:cs="Arial"/>
          <w:sz w:val="16"/>
          <w:szCs w:val="16"/>
          <w:lang w:val="en-US"/>
        </w:rPr>
        <w:t xml:space="preserve">dibayar kemudian </w:t>
      </w:r>
      <w:r>
        <w:rPr>
          <w:rFonts w:ascii="Arial" w:hAnsi="Arial" w:cs="Arial"/>
          <w:sz w:val="16"/>
          <w:szCs w:val="16"/>
        </w:rPr>
        <w:t xml:space="preserve">(yaitu dikontribusikan pada akhir periode konstruksi), </w:t>
      </w:r>
      <w:r>
        <w:rPr>
          <w:rFonts w:ascii="Arial" w:hAnsi="Arial" w:cs="Arial"/>
          <w:sz w:val="16"/>
          <w:szCs w:val="16"/>
          <w:lang w:val="en-US"/>
        </w:rPr>
        <w:t xml:space="preserve">apakah </w:t>
      </w:r>
      <w:r>
        <w:rPr>
          <w:rFonts w:ascii="Arial" w:hAnsi="Arial" w:cs="Arial"/>
          <w:sz w:val="16"/>
          <w:szCs w:val="16"/>
        </w:rPr>
        <w:t>struktur talangan ekuitas (</w:t>
      </w:r>
      <w:r>
        <w:rPr>
          <w:rFonts w:ascii="Arial" w:hAnsi="Arial" w:cs="Arial"/>
          <w:i/>
          <w:iCs/>
          <w:sz w:val="16"/>
          <w:szCs w:val="16"/>
        </w:rPr>
        <w:t>equity bridge structure</w:t>
      </w:r>
      <w:r>
        <w:rPr>
          <w:rFonts w:ascii="Arial" w:hAnsi="Arial" w:cs="Arial"/>
          <w:sz w:val="16"/>
          <w:szCs w:val="16"/>
        </w:rPr>
        <w:t xml:space="preserve">) </w:t>
      </w:r>
      <w:r>
        <w:rPr>
          <w:rFonts w:ascii="Arial" w:hAnsi="Arial" w:cs="Arial"/>
          <w:sz w:val="16"/>
          <w:szCs w:val="16"/>
          <w:lang w:val="en-US"/>
        </w:rPr>
        <w:t xml:space="preserve">akan </w:t>
      </w:r>
      <w:r>
        <w:rPr>
          <w:rFonts w:ascii="Arial" w:hAnsi="Arial" w:cs="Arial"/>
          <w:sz w:val="16"/>
          <w:szCs w:val="16"/>
        </w:rPr>
        <w:t>digunakan (dan apabila demikian, kapan dan bagaimana pinjaman talangan ekuitas (</w:t>
      </w:r>
      <w:r>
        <w:rPr>
          <w:rFonts w:ascii="Arial" w:hAnsi="Arial" w:cs="Arial"/>
          <w:i/>
          <w:iCs/>
          <w:sz w:val="16"/>
          <w:szCs w:val="16"/>
        </w:rPr>
        <w:t>equity bridge loan</w:t>
      </w:r>
      <w:r>
        <w:rPr>
          <w:rFonts w:ascii="Arial" w:hAnsi="Arial" w:cs="Arial"/>
          <w:sz w:val="16"/>
          <w:szCs w:val="16"/>
        </w:rPr>
        <w:t>) akan dibayar kembali);</w:t>
      </w:r>
    </w:p>
    <w:p>
      <w:pPr>
        <w:pStyle w:val="49"/>
        <w:numPr>
          <w:ilvl w:val="0"/>
          <w:numId w:val="8"/>
        </w:numPr>
        <w:tabs>
          <w:tab w:val="left" w:pos="426"/>
        </w:tabs>
        <w:spacing w:after="60"/>
        <w:ind w:left="851" w:hanging="425"/>
        <w:rPr>
          <w:rFonts w:ascii="Arial" w:hAnsi="Arial" w:cs="Arial"/>
          <w:sz w:val="16"/>
          <w:szCs w:val="16"/>
        </w:rPr>
      </w:pPr>
      <w:r>
        <w:rPr>
          <w:rFonts w:ascii="Arial" w:hAnsi="Arial" w:cs="Arial"/>
          <w:sz w:val="16"/>
          <w:szCs w:val="16"/>
          <w:lang w:val="en-US"/>
        </w:rPr>
        <w:t>apa</w:t>
      </w:r>
      <w:r>
        <w:rPr>
          <w:rFonts w:ascii="Arial" w:hAnsi="Arial" w:cs="Arial"/>
          <w:sz w:val="16"/>
          <w:szCs w:val="16"/>
        </w:rPr>
        <w:t>kah suatu bagian dari ekuitas akan</w:t>
      </w:r>
      <w:r>
        <w:rPr>
          <w:rFonts w:ascii="Arial" w:hAnsi="Arial" w:cs="Arial"/>
          <w:sz w:val="16"/>
          <w:szCs w:val="16"/>
          <w:lang w:val="en-US"/>
        </w:rPr>
        <w:t xml:space="preserve"> </w:t>
      </w:r>
      <w:r>
        <w:rPr>
          <w:rFonts w:ascii="Arial" w:hAnsi="Arial" w:cs="Arial"/>
          <w:sz w:val="16"/>
          <w:szCs w:val="16"/>
        </w:rPr>
        <w:t xml:space="preserve">dalam keadaan </w:t>
      </w:r>
      <w:r>
        <w:rPr>
          <w:rFonts w:ascii="Arial" w:hAnsi="Arial" w:cs="Arial"/>
          <w:i/>
          <w:iCs/>
          <w:sz w:val="16"/>
          <w:szCs w:val="16"/>
        </w:rPr>
        <w:t>standby</w:t>
      </w:r>
      <w:r>
        <w:rPr>
          <w:rFonts w:ascii="Arial" w:hAnsi="Arial" w:cs="Arial"/>
          <w:sz w:val="16"/>
          <w:szCs w:val="16"/>
        </w:rPr>
        <w:t xml:space="preserve"> (dan apabila demikian, apakah akan didukung oleh dukungan kredit); dan</w:t>
      </w:r>
    </w:p>
    <w:p>
      <w:pPr>
        <w:pStyle w:val="49"/>
        <w:numPr>
          <w:ilvl w:val="0"/>
          <w:numId w:val="8"/>
        </w:numPr>
        <w:tabs>
          <w:tab w:val="left" w:pos="426"/>
        </w:tabs>
        <w:spacing w:after="60"/>
        <w:ind w:left="851" w:hanging="425"/>
        <w:rPr>
          <w:rFonts w:ascii="Arial" w:hAnsi="Arial" w:cs="Arial"/>
          <w:sz w:val="16"/>
          <w:szCs w:val="16"/>
        </w:rPr>
      </w:pPr>
      <w:r>
        <w:rPr>
          <w:rFonts w:ascii="Arial" w:hAnsi="Arial" w:cs="Arial"/>
          <w:sz w:val="16"/>
          <w:szCs w:val="16"/>
          <w:lang w:val="en-US"/>
        </w:rPr>
        <w:t xml:space="preserve">apakah para </w:t>
      </w:r>
      <w:r>
        <w:rPr>
          <w:rFonts w:ascii="Arial" w:hAnsi="Arial" w:cs="Arial"/>
          <w:sz w:val="16"/>
          <w:szCs w:val="16"/>
        </w:rPr>
        <w:t>sponsor dapat</w:t>
      </w:r>
      <w:r>
        <w:rPr>
          <w:rFonts w:ascii="Arial" w:hAnsi="Arial" w:cs="Arial"/>
          <w:sz w:val="16"/>
          <w:szCs w:val="16"/>
          <w:lang w:val="en-US"/>
        </w:rPr>
        <w:t xml:space="preserve"> </w:t>
      </w:r>
      <w:r>
        <w:rPr>
          <w:rFonts w:ascii="Arial" w:hAnsi="Arial" w:cs="Arial"/>
          <w:sz w:val="16"/>
          <w:szCs w:val="16"/>
        </w:rPr>
        <w:t>memberikan kontribusi ekuitas dalam bentuk utang yang tersubordinasi (pinjaman</w:t>
      </w:r>
      <w:r>
        <w:rPr>
          <w:rFonts w:ascii="Arial" w:hAnsi="Arial" w:cs="Arial"/>
          <w:sz w:val="16"/>
          <w:szCs w:val="16"/>
          <w:lang w:val="en-US"/>
        </w:rPr>
        <w:t>-</w:t>
      </w:r>
      <w:r>
        <w:rPr>
          <w:rFonts w:ascii="Arial" w:hAnsi="Arial" w:cs="Arial"/>
          <w:sz w:val="16"/>
          <w:szCs w:val="16"/>
        </w:rPr>
        <w:t xml:space="preserve">pinjaman pemegang saham) dan modal saham nyata (apabila demikian, </w:t>
      </w:r>
      <w:r>
        <w:rPr>
          <w:rFonts w:ascii="Arial" w:hAnsi="Arial" w:cs="Arial"/>
          <w:sz w:val="16"/>
          <w:szCs w:val="16"/>
          <w:lang w:val="en-US"/>
        </w:rPr>
        <w:t xml:space="preserve">kesepakatan-kesepakatannya </w:t>
      </w:r>
      <w:r>
        <w:rPr>
          <w:rFonts w:ascii="Arial" w:hAnsi="Arial" w:cs="Arial"/>
          <w:sz w:val="16"/>
          <w:szCs w:val="16"/>
        </w:rPr>
        <w:t xml:space="preserve">harus mematuhi ketentuan-ketentuan terkait modal terselubung </w:t>
      </w:r>
      <w:r>
        <w:rPr>
          <w:rFonts w:ascii="Arial" w:hAnsi="Arial" w:cs="Arial"/>
          <w:sz w:val="16"/>
          <w:szCs w:val="16"/>
          <w:lang w:val="en-US"/>
        </w:rPr>
        <w:t>(</w:t>
      </w:r>
      <w:r>
        <w:rPr>
          <w:rFonts w:ascii="Arial" w:hAnsi="Arial" w:cs="Arial"/>
          <w:i/>
          <w:iCs/>
          <w:sz w:val="16"/>
          <w:szCs w:val="16"/>
          <w:lang w:val="en-US"/>
        </w:rPr>
        <w:t>thin capitalization rules</w:t>
      </w:r>
      <w:r>
        <w:rPr>
          <w:rFonts w:ascii="Arial" w:hAnsi="Arial" w:cs="Arial"/>
          <w:sz w:val="16"/>
          <w:szCs w:val="16"/>
          <w:lang w:val="en-US"/>
        </w:rPr>
        <w:t xml:space="preserve">) </w:t>
      </w:r>
      <w:r>
        <w:rPr>
          <w:rFonts w:ascii="Arial" w:hAnsi="Arial" w:cs="Arial"/>
          <w:sz w:val="16"/>
          <w:szCs w:val="16"/>
        </w:rPr>
        <w:t xml:space="preserve">di yurisdiksi </w:t>
      </w:r>
      <w:r>
        <w:rPr>
          <w:rFonts w:ascii="Arial" w:hAnsi="Arial" w:cs="Arial"/>
          <w:sz w:val="16"/>
          <w:szCs w:val="16"/>
          <w:lang w:val="en-US"/>
        </w:rPr>
        <w:t>terkait</w:t>
      </w:r>
      <w:r>
        <w:rPr>
          <w:rFonts w:ascii="Arial" w:hAnsi="Arial" w:cs="Arial"/>
          <w:sz w:val="16"/>
          <w:szCs w:val="16"/>
        </w:rPr>
        <w:t>)?</w:t>
      </w:r>
    </w:p>
  </w:footnote>
  <w:footnote w:id="32">
    <w:p>
      <w:pPr>
        <w:pStyle w:val="26"/>
        <w:tabs>
          <w:tab w:val="left" w:pos="426"/>
        </w:tabs>
        <w:spacing w:after="60"/>
        <w:ind w:left="426" w:hanging="426"/>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Setiap kemampuan Para Pihak Pembiayaan untuk 'mempercepat' ekuitas yang tidak dikontribusikan selama Peristiwa Cedera Janji berlanjut akan tunduk pada negosiasi berdasarkan proyek per proyek dan dapat dibuat dengan tunduk pada syarat-syarat lebih lanjut seperti pembatasan pemicu-pemicu percepatan untuk Peristiwa Cedera Janji yang “utama” seperti tidak dilakukannya pembayaran, kepailitan dll. atau hanya sekali percepatan Pinjaman-pinjaman setelah Peristiwa Cedera Janji mulai terjadi. </w:t>
      </w:r>
    </w:p>
  </w:footnote>
  <w:footnote w:id="3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Apakah Ekuitas </w:t>
      </w:r>
      <w:r>
        <w:rPr>
          <w:rFonts w:ascii="Arial" w:hAnsi="Arial" w:cs="Arial"/>
          <w:i/>
          <w:iCs/>
          <w:sz w:val="16"/>
          <w:szCs w:val="16"/>
        </w:rPr>
        <w:t>Standby</w:t>
      </w:r>
      <w:r>
        <w:rPr>
          <w:rFonts w:ascii="Arial" w:hAnsi="Arial" w:cs="Arial"/>
          <w:sz w:val="16"/>
          <w:szCs w:val="16"/>
        </w:rPr>
        <w:t xml:space="preserve"> disyaratkan, dan syarat-syarat berdasarkan mana Ekuitas </w:t>
      </w:r>
      <w:r>
        <w:rPr>
          <w:rFonts w:ascii="Arial" w:hAnsi="Arial" w:cs="Arial"/>
          <w:i/>
          <w:iCs/>
          <w:sz w:val="16"/>
          <w:szCs w:val="16"/>
        </w:rPr>
        <w:t xml:space="preserve">Standby </w:t>
      </w:r>
      <w:r>
        <w:rPr>
          <w:rFonts w:ascii="Arial" w:hAnsi="Arial" w:cs="Arial"/>
          <w:sz w:val="16"/>
          <w:szCs w:val="16"/>
        </w:rPr>
        <w:t xml:space="preserve">tersebut akan dikontribusikan, akan dinegosiasikan berdasarkan proyek per proyek. Jika Fasilitas </w:t>
      </w:r>
      <w:r>
        <w:rPr>
          <w:rFonts w:ascii="Arial" w:hAnsi="Arial" w:cs="Arial"/>
          <w:i/>
          <w:iCs/>
          <w:sz w:val="16"/>
          <w:szCs w:val="16"/>
        </w:rPr>
        <w:t>Standby</w:t>
      </w:r>
      <w:r>
        <w:rPr>
          <w:rFonts w:ascii="Arial" w:hAnsi="Arial" w:cs="Arial"/>
          <w:sz w:val="16"/>
          <w:szCs w:val="16"/>
        </w:rPr>
        <w:t xml:space="preserve"> dimasukkan, maka Ekuitas </w:t>
      </w:r>
      <w:r>
        <w:rPr>
          <w:rFonts w:ascii="Arial" w:hAnsi="Arial" w:cs="Arial"/>
          <w:i/>
          <w:iCs/>
          <w:sz w:val="16"/>
          <w:szCs w:val="16"/>
        </w:rPr>
        <w:t>Standby</w:t>
      </w:r>
      <w:r>
        <w:rPr>
          <w:rFonts w:ascii="Arial" w:hAnsi="Arial" w:cs="Arial"/>
          <w:sz w:val="16"/>
          <w:szCs w:val="16"/>
        </w:rPr>
        <w:t xml:space="preserve"> harus dikontribusikan secara pro rata dengan Fasilitas </w:t>
      </w:r>
      <w:r>
        <w:rPr>
          <w:rFonts w:ascii="Arial" w:hAnsi="Arial" w:cs="Arial"/>
          <w:i/>
          <w:iCs/>
          <w:sz w:val="16"/>
          <w:szCs w:val="16"/>
        </w:rPr>
        <w:t>Standby</w:t>
      </w:r>
      <w:r>
        <w:rPr>
          <w:rFonts w:ascii="Arial" w:hAnsi="Arial" w:cs="Arial"/>
          <w:sz w:val="16"/>
          <w:szCs w:val="16"/>
        </w:rPr>
        <w:t xml:space="preserve">. </w:t>
      </w:r>
    </w:p>
  </w:footnote>
  <w:footnote w:id="3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Persyaratan pemeringkatan </w:t>
      </w:r>
      <w:r>
        <w:rPr>
          <w:rFonts w:ascii="Arial" w:hAnsi="Arial" w:cs="Arial"/>
          <w:sz w:val="16"/>
          <w:szCs w:val="16"/>
          <w:lang w:val="en-US"/>
        </w:rPr>
        <w:t xml:space="preserve">(rating) </w:t>
      </w:r>
      <w:r>
        <w:rPr>
          <w:rFonts w:ascii="Arial" w:hAnsi="Arial" w:cs="Arial"/>
          <w:sz w:val="16"/>
          <w:szCs w:val="16"/>
        </w:rPr>
        <w:t xml:space="preserve">harus mengacu pada lembaga/-lembaga pemeringkat </w:t>
      </w:r>
      <w:r>
        <w:rPr>
          <w:rFonts w:ascii="Arial" w:hAnsi="Arial" w:cs="Arial"/>
          <w:sz w:val="16"/>
          <w:szCs w:val="16"/>
          <w:lang w:val="en-US"/>
        </w:rPr>
        <w:t xml:space="preserve">(rating) </w:t>
      </w:r>
      <w:r>
        <w:rPr>
          <w:rFonts w:ascii="Arial" w:hAnsi="Arial" w:cs="Arial"/>
          <w:sz w:val="16"/>
          <w:szCs w:val="16"/>
        </w:rPr>
        <w:t xml:space="preserve">terkait yang menetapkan peringkat-peringkat tersebut (biasanya satu atau lebih lembaga dari Moody, Standard &amp; Poor atau Fitch). </w:t>
      </w:r>
    </w:p>
  </w:footnote>
  <w:footnote w:id="3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Dalam pembiayaan proyek ‘tanpa hak regres’ (‘</w:t>
      </w:r>
      <w:r>
        <w:rPr>
          <w:rFonts w:ascii="Arial" w:hAnsi="Arial" w:cs="Arial"/>
          <w:i/>
          <w:iCs/>
          <w:sz w:val="16"/>
          <w:szCs w:val="16"/>
        </w:rPr>
        <w:t>non-recourse</w:t>
      </w:r>
      <w:r>
        <w:rPr>
          <w:rFonts w:ascii="Arial" w:hAnsi="Arial" w:cs="Arial"/>
          <w:sz w:val="16"/>
          <w:szCs w:val="16"/>
        </w:rPr>
        <w:t xml:space="preserve">’) pada umumnya, para sponsor tidak memiliki kewajiban-kewajiban finansial lebih lanjut selain kontribusi ekuitas.  Namun, beberapa bentuk kewajiban finansial tambahan (yaitu dukungan sponsor) dapat ditawarkan pada proyek-proyek tertentu dan/atau untuk risiko-risiko tertentu.  Dalam keadaan ini, dukungan sponsor umumnya akan dicantumkan dalam Perjanjian Kontribusi Pemegang Saham dan Dukungan Sponsor (selain kewajiban-kewajiban umum lainnya, seperti kontribusi ekuitas, retensi saham dan janji-janji subordinasi), tetapi ringkasan dukungan utama yang akan diberikan biasanya dicantumkan dalam daftar ketentuan karena hal ini merupakan pertimbangan utama bagi Para Kreditur. </w:t>
      </w:r>
    </w:p>
    <w:p>
      <w:pPr>
        <w:pStyle w:val="49"/>
        <w:tabs>
          <w:tab w:val="left" w:pos="426"/>
        </w:tabs>
        <w:spacing w:after="60"/>
        <w:ind w:left="851" w:hanging="425"/>
        <w:rPr>
          <w:rFonts w:ascii="Arial" w:hAnsi="Arial" w:cs="Arial"/>
          <w:sz w:val="16"/>
          <w:szCs w:val="16"/>
        </w:rPr>
      </w:pPr>
      <w:r>
        <w:rPr>
          <w:rFonts w:ascii="Arial" w:hAnsi="Arial" w:cs="Arial"/>
          <w:sz w:val="16"/>
          <w:szCs w:val="16"/>
        </w:rPr>
        <w:t>Dua jenis dukungan sponsor yang umum adalah:</w:t>
      </w:r>
    </w:p>
    <w:p>
      <w:pPr>
        <w:pStyle w:val="49"/>
        <w:numPr>
          <w:ilvl w:val="0"/>
          <w:numId w:val="9"/>
        </w:numPr>
        <w:tabs>
          <w:tab w:val="left" w:pos="426"/>
        </w:tabs>
        <w:spacing w:after="60"/>
        <w:ind w:left="993" w:hanging="321"/>
        <w:rPr>
          <w:rFonts w:ascii="Arial" w:hAnsi="Arial" w:cs="Arial"/>
          <w:sz w:val="16"/>
          <w:szCs w:val="16"/>
        </w:rPr>
      </w:pPr>
      <w:r>
        <w:rPr>
          <w:rFonts w:ascii="Arial" w:hAnsi="Arial" w:cs="Arial"/>
          <w:sz w:val="16"/>
          <w:szCs w:val="16"/>
        </w:rPr>
        <w:t xml:space="preserve">dukungan penyelesaian (atau “jaminan penyelesaian”) – istilah-istilah ini dapat digunakan untuk menggambarkan spektrum yang luas dari dukungan untuk pencapaian penyelesaian proyek, mulai dari janji untuk menyediakan jumlah ekuitas </w:t>
      </w:r>
      <w:r>
        <w:rPr>
          <w:rFonts w:ascii="Arial" w:hAnsi="Arial" w:cs="Arial"/>
          <w:sz w:val="16"/>
          <w:szCs w:val="16"/>
          <w:lang w:val="en-US"/>
        </w:rPr>
        <w:t xml:space="preserve">standby </w:t>
      </w:r>
      <w:r>
        <w:rPr>
          <w:rFonts w:ascii="Arial" w:hAnsi="Arial" w:cs="Arial"/>
          <w:sz w:val="16"/>
          <w:szCs w:val="16"/>
        </w:rPr>
        <w:t>secara terbatas untuk mendanai pembengkakan biaya atau memenuhi kekurangan pendanaan lainnya hingga jaminan penuh pembayaran kembali jika penyelesaian tidak tercapai pada tanggal tertentu; dan</w:t>
      </w:r>
    </w:p>
    <w:p>
      <w:pPr>
        <w:pStyle w:val="49"/>
        <w:numPr>
          <w:ilvl w:val="0"/>
          <w:numId w:val="9"/>
        </w:numPr>
        <w:tabs>
          <w:tab w:val="left" w:pos="426"/>
        </w:tabs>
        <w:spacing w:after="60"/>
        <w:ind w:left="993" w:hanging="321"/>
        <w:rPr>
          <w:rFonts w:ascii="Arial" w:hAnsi="Arial" w:cs="Arial"/>
          <w:sz w:val="16"/>
          <w:szCs w:val="16"/>
        </w:rPr>
      </w:pPr>
      <w:r>
        <w:rPr>
          <w:rFonts w:ascii="Arial" w:hAnsi="Arial" w:cs="Arial"/>
          <w:sz w:val="16"/>
          <w:szCs w:val="16"/>
        </w:rPr>
        <w:t>dukungan pasca-penyelesaian tertentu – hal ini mungkin disyaratkan jika Para Kreditur tidak ingin atau tidak dapat mengambil risiko-risiko pasca-penyelesaian tertentu dan akan perlu dinilai berdasarkan proyek per proyek (misalnya jika ada kekhawatiran atas risiko permintaan, Para Sponsor dapat memberikan janji jual beli (</w:t>
      </w:r>
      <w:r>
        <w:rPr>
          <w:rFonts w:ascii="Arial" w:hAnsi="Arial" w:cs="Arial"/>
          <w:i/>
          <w:iCs/>
          <w:sz w:val="16"/>
          <w:szCs w:val="16"/>
        </w:rPr>
        <w:t>offtake</w:t>
      </w:r>
      <w:r>
        <w:rPr>
          <w:rFonts w:ascii="Arial" w:hAnsi="Arial" w:cs="Arial"/>
          <w:sz w:val="16"/>
          <w:szCs w:val="16"/>
        </w:rPr>
        <w:t xml:space="preserve">) </w:t>
      </w:r>
      <w:r>
        <w:rPr>
          <w:rFonts w:ascii="Arial" w:hAnsi="Arial" w:cs="Arial"/>
          <w:i/>
          <w:iCs/>
          <w:sz w:val="16"/>
          <w:szCs w:val="16"/>
        </w:rPr>
        <w:t>standby</w:t>
      </w:r>
      <w:r>
        <w:rPr>
          <w:rFonts w:ascii="Arial" w:hAnsi="Arial" w:cs="Arial"/>
          <w:sz w:val="16"/>
          <w:szCs w:val="16"/>
        </w:rPr>
        <w:t>).</w:t>
      </w:r>
    </w:p>
  </w:footnote>
  <w:footnote w:id="3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Mungkin terdapat sumber-sumber pendapatan tambahan (misalnya, hibah pemerintah dan pendapatan pra-penyelesaian) yang dapat dimasukkan dalam perhitungan Rasio Utang Terhadap Ekuitas. </w:t>
      </w:r>
    </w:p>
  </w:footnote>
  <w:footnote w:id="3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Para Pihak agar mengubah bila perlu. </w:t>
      </w:r>
    </w:p>
  </w:footnote>
  <w:footnote w:id="3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Definisi ini umumnya digunakan untuk menggambarkan dimulainya pengoperasian tingkat proyek. Dalam transaksi-transaksi tertentu (misalnya yang didukung oleh ECA) hal ini dapat memengaruhi periode ketersediaan dan tanggal pembayaran kembali pertama.</w:t>
      </w:r>
    </w:p>
  </w:footnote>
  <w:footnote w:id="39">
    <w:p>
      <w:pPr>
        <w:pStyle w:val="26"/>
        <w:tabs>
          <w:tab w:val="clear" w:pos="113"/>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Daftar ketentuan ini mengasumsikan bahwa akan ada satu Tanggal Penyelesaian Proyek. Beberapa transaksi juga menyertakan Tanggal Penyelesaian Finansial dimana persyaratan-persyaratan tambahan disertakan sebelum pelepasan dukungan sponsor atau pembayaran yang diperbolehkan dari pembayaran-pembayaran yang dibatasi (misalnya distribusi-distribusi atau pembayaran kembali pinjaman-pinjaman pemegang saham). Untuk beberapa transaksi, mungkin tidak ada konsep Pengujian Penyelesaian Finansial yang terpisah, mis. untuk beberapa pembiayaan Kemitraan Pemerintah-Swasta</w:t>
      </w:r>
      <w:r>
        <w:rPr>
          <w:rFonts w:ascii="Arial" w:hAnsi="Arial" w:cs="Arial"/>
          <w:sz w:val="16"/>
          <w:szCs w:val="16"/>
          <w:lang w:val="en-US"/>
        </w:rPr>
        <w:t xml:space="preserve"> (PPP)</w:t>
      </w:r>
      <w:r>
        <w:rPr>
          <w:rFonts w:ascii="Arial" w:hAnsi="Arial" w:cs="Arial"/>
          <w:sz w:val="16"/>
          <w:szCs w:val="16"/>
        </w:rPr>
        <w:t xml:space="preserve">, penyelesaian biasanya dipatok sampai selesai berdasarkan perjanjian </w:t>
      </w:r>
      <w:r>
        <w:rPr>
          <w:rFonts w:ascii="Arial" w:hAnsi="Arial" w:cs="Arial"/>
          <w:i/>
          <w:iCs/>
          <w:sz w:val="16"/>
          <w:szCs w:val="16"/>
        </w:rPr>
        <w:t>offtake</w:t>
      </w:r>
      <w:r>
        <w:rPr>
          <w:rFonts w:ascii="Arial" w:hAnsi="Arial" w:cs="Arial"/>
          <w:sz w:val="16"/>
          <w:szCs w:val="16"/>
        </w:rPr>
        <w:t xml:space="preserve"> saja, yang memerlukan persetujuan dari instansi/(Para) Pembeli (</w:t>
      </w:r>
      <w:r>
        <w:rPr>
          <w:rFonts w:ascii="Arial" w:hAnsi="Arial" w:cs="Arial"/>
          <w:i/>
          <w:iCs/>
          <w:sz w:val="16"/>
          <w:szCs w:val="16"/>
        </w:rPr>
        <w:t>Offtaker</w:t>
      </w:r>
      <w:r>
        <w:rPr>
          <w:rFonts w:ascii="Arial" w:hAnsi="Arial" w:cs="Arial"/>
          <w:sz w:val="16"/>
          <w:szCs w:val="16"/>
        </w:rPr>
        <w:t>[</w:t>
      </w:r>
      <w:r>
        <w:rPr>
          <w:rFonts w:ascii="Arial" w:hAnsi="Arial" w:cs="Arial"/>
          <w:i/>
          <w:iCs/>
          <w:sz w:val="16"/>
          <w:szCs w:val="16"/>
        </w:rPr>
        <w:t>s</w:t>
      </w:r>
      <w:r>
        <w:rPr>
          <w:rFonts w:ascii="Arial" w:hAnsi="Arial" w:cs="Arial"/>
          <w:sz w:val="16"/>
          <w:szCs w:val="16"/>
        </w:rPr>
        <w:t>]).</w:t>
      </w:r>
    </w:p>
  </w:footnote>
  <w:footnote w:id="4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Proyeksi DSCR ini mungkin tidak disertakan dalam proyek-proyek yang mengambil risiko pasar (misalnya, risiko lalu lintas pada proyek jalan atau risiko penetapan harga untuk proyek sumber daya). Dalam </w:t>
      </w:r>
      <w:r>
        <w:rPr>
          <w:rFonts w:ascii="Arial" w:hAnsi="Arial" w:cs="Arial"/>
          <w:sz w:val="16"/>
          <w:szCs w:val="16"/>
          <w:lang w:val="en-US"/>
        </w:rPr>
        <w:t xml:space="preserve">keadaan </w:t>
      </w:r>
      <w:r>
        <w:rPr>
          <w:rFonts w:ascii="Arial" w:hAnsi="Arial" w:cs="Arial"/>
          <w:sz w:val="16"/>
          <w:szCs w:val="16"/>
        </w:rPr>
        <w:t xml:space="preserve">demikian, pengujian-pengujian keandalan operasional alternatif mungkin diperlukan.  </w:t>
      </w:r>
    </w:p>
  </w:footnote>
  <w:footnote w:id="4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Untuk informasi lebih lanjut tentang </w:t>
      </w:r>
      <w:r>
        <w:rPr>
          <w:rFonts w:ascii="Arial" w:hAnsi="Arial" w:cs="Arial"/>
          <w:i/>
          <w:iCs/>
          <w:sz w:val="16"/>
          <w:szCs w:val="16"/>
        </w:rPr>
        <w:t>reserve account</w:t>
      </w:r>
      <w:r>
        <w:rPr>
          <w:rFonts w:ascii="Arial" w:hAnsi="Arial" w:cs="Arial"/>
          <w:sz w:val="16"/>
          <w:szCs w:val="16"/>
        </w:rPr>
        <w:t xml:space="preserve">, lihat bagian Rekening-rekening Proyek di bawah ini, termasuk catatan-catatan kaki. Mohon perhatikan jika DSRA akan dibiayai dari arus kas, maka mungkin tidak ada persyaratan untuk rekening yang akan dibiayai pada atau sebelum Tanggal Penyelesaian Finansial. Dalam </w:t>
      </w:r>
      <w:r>
        <w:rPr>
          <w:rFonts w:ascii="Arial" w:hAnsi="Arial" w:cs="Arial"/>
          <w:sz w:val="16"/>
          <w:szCs w:val="16"/>
          <w:lang w:val="en-US"/>
        </w:rPr>
        <w:t xml:space="preserve">keadaan </w:t>
      </w:r>
      <w:r>
        <w:rPr>
          <w:rFonts w:ascii="Arial" w:hAnsi="Arial" w:cs="Arial"/>
          <w:sz w:val="16"/>
          <w:szCs w:val="16"/>
        </w:rPr>
        <w:t>demikian, Para Kreditur mungkin meyakini bahwa DSRA yang dibayai secara penuh hanyalah suatu pengujian distribusi (yaitu Perusahaan Proyek hanya dapat melakukan distribusi kepada Para Sponsor/Para Pemegang Saham jika DSRA telah dibiayai penuh).</w:t>
      </w:r>
    </w:p>
  </w:footnote>
  <w:footnote w:id="4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Kapan tanggal </w:t>
      </w:r>
      <w:r>
        <w:rPr>
          <w:rFonts w:ascii="Arial" w:hAnsi="Arial" w:cs="Arial"/>
          <w:i/>
          <w:iCs/>
          <w:sz w:val="16"/>
          <w:szCs w:val="16"/>
        </w:rPr>
        <w:t>longstop</w:t>
      </w:r>
      <w:r>
        <w:rPr>
          <w:rFonts w:ascii="Arial" w:hAnsi="Arial" w:cs="Arial"/>
          <w:sz w:val="16"/>
          <w:szCs w:val="16"/>
        </w:rPr>
        <w:t xml:space="preserve"> yang tepat untuk suatu proyek tertentu kemungkinan akan menjadi subjek negosiasi dan perlu diberikan pertimbangan terhadap berbagai faktor, termasuk kerangka kontrak dan </w:t>
      </w:r>
      <w:r>
        <w:rPr>
          <w:rFonts w:ascii="Arial" w:hAnsi="Arial" w:cs="Arial"/>
          <w:i/>
          <w:iCs/>
          <w:sz w:val="16"/>
          <w:szCs w:val="16"/>
        </w:rPr>
        <w:t>Financial Model</w:t>
      </w:r>
      <w:r>
        <w:rPr>
          <w:rFonts w:ascii="Arial" w:hAnsi="Arial" w:cs="Arial"/>
          <w:sz w:val="16"/>
          <w:szCs w:val="16"/>
        </w:rPr>
        <w:t>.</w:t>
      </w:r>
    </w:p>
  </w:footnote>
  <w:footnote w:id="4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i/>
          <w:iCs/>
          <w:sz w:val="16"/>
          <w:szCs w:val="16"/>
        </w:rPr>
        <w:t>True-up</w:t>
      </w:r>
      <w:r>
        <w:rPr>
          <w:rFonts w:ascii="Arial" w:hAnsi="Arial" w:cs="Arial"/>
          <w:sz w:val="16"/>
          <w:szCs w:val="16"/>
        </w:rPr>
        <w:t xml:space="preserve"> tersebut mungkin tepat untuk memungkinkan Para Sponsor mengambil sebagian atau seluruh manfaat dari penghematan biaya selama konstruksi, khususnya dalam keadaan dimana ekuitas dasar telah dibiayai dimuka (termasuk melalui fasilitas talangan ekuitas (</w:t>
      </w:r>
      <w:r>
        <w:rPr>
          <w:rFonts w:ascii="Arial" w:hAnsi="Arial" w:cs="Arial"/>
          <w:i/>
          <w:iCs/>
          <w:sz w:val="16"/>
          <w:szCs w:val="16"/>
        </w:rPr>
        <w:t>equity bridge facility</w:t>
      </w:r>
      <w:r>
        <w:rPr>
          <w:rFonts w:ascii="Arial" w:hAnsi="Arial" w:cs="Arial"/>
          <w:sz w:val="16"/>
          <w:szCs w:val="16"/>
        </w:rPr>
        <w:t xml:space="preserve">)). Para Sponsor akan mendapat bagian penghematan biaya yang tidak proporsional jika ekuitas </w:t>
      </w:r>
      <w:r>
        <w:rPr>
          <w:rFonts w:ascii="Arial" w:hAnsi="Arial" w:cs="Arial"/>
          <w:i/>
          <w:iCs/>
          <w:sz w:val="16"/>
          <w:szCs w:val="16"/>
        </w:rPr>
        <w:t>true-up</w:t>
      </w:r>
      <w:r>
        <w:rPr>
          <w:rFonts w:ascii="Arial" w:hAnsi="Arial" w:cs="Arial"/>
          <w:sz w:val="16"/>
          <w:szCs w:val="16"/>
        </w:rPr>
        <w:t xml:space="preserve"> memungkinkan rasio utang terhadap ekuitas yang lebih tinggi daripada dalam kasus dasar, sedangkan jika rasio utang terhadap ekuitas yang sama digunakan, penghematan biaya akan dibagi secara proporsional antara Para Sponsor dan Para Kreditur.</w:t>
      </w:r>
    </w:p>
  </w:footnote>
  <w:footnote w:id="4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Ubah bila perlu. Hal ini umumnya akan mencakup Fasilitas Pinjaman Berjangka A tetapi beberapa Fasilitas dapat digunakan hanya untuk keperluan tertentu dan oleh karena itu tidak akan ditarik untuk </w:t>
      </w:r>
      <w:r>
        <w:rPr>
          <w:rFonts w:ascii="Arial" w:hAnsi="Arial" w:cs="Arial"/>
          <w:i/>
          <w:iCs/>
          <w:sz w:val="16"/>
          <w:szCs w:val="16"/>
        </w:rPr>
        <w:t>true-up</w:t>
      </w:r>
      <w:r>
        <w:rPr>
          <w:rFonts w:ascii="Arial" w:hAnsi="Arial" w:cs="Arial"/>
          <w:sz w:val="16"/>
          <w:szCs w:val="16"/>
        </w:rPr>
        <w:t xml:space="preserve"> ekuitas (misalnya, Fasilitas </w:t>
      </w:r>
      <w:r>
        <w:rPr>
          <w:rFonts w:ascii="Arial" w:hAnsi="Arial" w:cs="Arial"/>
          <w:i/>
          <w:iCs/>
          <w:sz w:val="16"/>
          <w:szCs w:val="16"/>
        </w:rPr>
        <w:t>Standby</w:t>
      </w:r>
      <w:r>
        <w:rPr>
          <w:rFonts w:ascii="Arial" w:hAnsi="Arial" w:cs="Arial"/>
          <w:sz w:val="16"/>
          <w:szCs w:val="16"/>
        </w:rPr>
        <w:t xml:space="preserve"> yang akan digunakan untuk mendanai pembengkakan Biaya Proyek).</w:t>
      </w:r>
    </w:p>
  </w:footnote>
  <w:footnote w:id="4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Harap diperhatikan bahwa mungkin ada sejumlah fasilitas berjangka yang akan mencakup, bersama dengan ekuitas, Biaya-biaya Proyek, misalnya, satu atau lebih fasilitas-fasilitas ECA bersama dengan fasilitas lembaga keuangan multilateral atau pembiayaan pembangunan, fasilitas bank umum, fasilitas syariah, dll. Lihat catatan kaki 31 di atas.</w:t>
      </w:r>
    </w:p>
  </w:footnote>
  <w:footnote w:id="4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Para Pihak akan mempertimbangkan apakah dasar nol untuk tolok ukur yang berlaku harus dimasukkan.</w:t>
      </w:r>
    </w:p>
  </w:footnote>
  <w:footnote w:id="47">
    <w:p>
      <w:pPr>
        <w:pStyle w:val="26"/>
        <w:tabs>
          <w:tab w:val="left" w:pos="426"/>
        </w:tabs>
        <w:spacing w:after="60"/>
        <w:ind w:left="426" w:hanging="426"/>
        <w:rPr>
          <w:rFonts w:ascii="Arial" w:hAnsi="Arial" w:cs="Arial"/>
          <w:sz w:val="16"/>
          <w:szCs w:val="16"/>
          <w:lang w:eastAsia="zh-CN"/>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eastAsia="zh-CN"/>
        </w:rPr>
        <w:tab/>
      </w:r>
      <w:r>
        <w:rPr>
          <w:rFonts w:ascii="Arial" w:hAnsi="Arial" w:cs="Arial"/>
          <w:sz w:val="16"/>
          <w:szCs w:val="16"/>
          <w:lang w:eastAsia="zh-CN"/>
        </w:rPr>
        <w:t>Konfirmasikan ketentuan jumlah hari sesuai dengan mata uang fasilitas terkait.  360 hari merupakan ketentuan jumlah hari yang tepat untuk pinjaman-pinjaman dalam USD. 365 hari merupakan ketentuan jumlah hari yang tepat untuk pinjaman-pinjaman dalam SGD</w:t>
      </w:r>
      <w:r>
        <w:rPr>
          <w:rFonts w:ascii="Arial" w:hAnsi="Arial" w:cs="Arial"/>
          <w:sz w:val="16"/>
          <w:szCs w:val="16"/>
          <w:lang w:val="en-US"/>
        </w:rPr>
        <w:t>.</w:t>
      </w:r>
    </w:p>
  </w:footnote>
  <w:footnote w:id="4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Selama periode konstruksi, bunga yang bertambah (atau IDC – bunga selama konstruksi) umumnya dibayarkan sebagai "penggunaan" atau sebagai Biaya Proyek selama konstruksi, dan melalui gabungan antara utang dan ekuitas, dan biasanya salah satu dari keduanya:</w:t>
      </w:r>
    </w:p>
    <w:p>
      <w:pPr>
        <w:pStyle w:val="26"/>
        <w:numPr>
          <w:ilvl w:val="0"/>
          <w:numId w:val="10"/>
        </w:numPr>
        <w:spacing w:after="60"/>
        <w:ind w:left="851" w:hanging="425"/>
        <w:rPr>
          <w:rFonts w:ascii="Arial" w:hAnsi="Arial" w:cs="Arial"/>
          <w:sz w:val="16"/>
          <w:szCs w:val="16"/>
        </w:rPr>
      </w:pPr>
      <w:r>
        <w:rPr>
          <w:rFonts w:ascii="Arial" w:hAnsi="Arial" w:cs="Arial"/>
          <w:sz w:val="16"/>
          <w:szCs w:val="16"/>
        </w:rPr>
        <w:t>'dikapitalisasi' – yaitu ditambahkan ke jumlah utang pokok yang terutang berdasarkan Fasilitas terkait pada tanggal pembayaran bunga terkait; atau</w:t>
      </w:r>
    </w:p>
    <w:p>
      <w:pPr>
        <w:pStyle w:val="26"/>
        <w:numPr>
          <w:ilvl w:val="0"/>
          <w:numId w:val="10"/>
        </w:numPr>
        <w:spacing w:after="60"/>
        <w:ind w:left="851" w:hanging="425"/>
        <w:rPr>
          <w:rFonts w:ascii="Arial" w:hAnsi="Arial" w:cs="Arial"/>
          <w:sz w:val="16"/>
          <w:szCs w:val="16"/>
        </w:rPr>
      </w:pPr>
      <w:r>
        <w:rPr>
          <w:rFonts w:ascii="Arial" w:hAnsi="Arial" w:cs="Arial"/>
          <w:sz w:val="16"/>
          <w:szCs w:val="16"/>
        </w:rPr>
        <w:t>dibayar dengan melakukan penarikan pinjaman pada tanggal pembayaran bunga terkait.</w:t>
      </w:r>
    </w:p>
  </w:footnote>
  <w:footnote w:id="49">
    <w:p>
      <w:pPr>
        <w:pStyle w:val="26"/>
        <w:tabs>
          <w:tab w:val="left" w:pos="426"/>
          <w:tab w:val="clear" w:pos="113"/>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eastAsia="Times New Roman" w:cs="Arial"/>
          <w:sz w:val="16"/>
          <w:szCs w:val="16"/>
          <w:lang w:val="en-AU"/>
        </w:rPr>
        <w:t>Tanggal-tanggal pembayaran bunga seringkali ditetapkan jatuh pada hari-hari biasa di setiap tahun kalender, selama konstruksi ataupun kegiatan-kegiatan operasional (terlepas dari fakta bahwa bunga sering dikapitalisasi selama periode konstruksi), alih-alih mengizinkan Debitur untuk bebas memilih tenor-tenor Periode Bunga</w:t>
      </w:r>
      <w:r>
        <w:rPr>
          <w:rFonts w:ascii="Arial" w:hAnsi="Arial" w:cs="Arial"/>
          <w:sz w:val="16"/>
          <w:szCs w:val="16"/>
        </w:rPr>
        <w:t xml:space="preserve">. </w:t>
      </w:r>
    </w:p>
  </w:footnote>
  <w:footnote w:id="5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Periode ketersediaan fasilitas-fasilitas akan berbeda-beda untuk setiap transaksi, tergantung pada waktu pembayaran Biaya-biaya Proyek berdasarkan Dokumen-dokumen Proyek.</w:t>
      </w:r>
    </w:p>
  </w:footnote>
  <w:footnote w:id="5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Batasan jumlah pinjaman-pinjaman yang mungkin terutang biasanya dimasukkan untuk keperluan-keperluan administrasi (sehingga Para Agen Fasilitas yang bersangkutan tidak terlalu terbebani). Hal ini perlu dipertimbangkan bersama dengan waktu pembayaran Biaya-biaya Proyek berdasarkan Dokumen-dokumen Proyek. </w:t>
      </w:r>
    </w:p>
  </w:footnote>
  <w:footnote w:id="5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Perusahaan Proyek akan diizinkan untuk membayar Biaya-biaya Proyek sepanjang hal-hal ini sesuai dengan anggaran-anggaran terkait (sesuai dengan perbedaan-perbedaan yang diperbolehkan). Para Pihak Pembiayaan bermaksud memperoleh hak-hak persetujuan jika biaya-biaya melebihi anggaran. Sejumlah pembayaran mungkin juga harus memperoleh persetujuan dari Penasihat Teknis.</w:t>
      </w:r>
    </w:p>
  </w:footnote>
  <w:footnote w:id="5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Beberapa fasilitas berjangka tertentu (misalnya fasilitas-fasilitas ECA terikat atau beberapa fasilitas Syariah) mungkin hanya tersedia untuk mendanai kategori-kategori tertentu dari Biaya-biaya Proyek ‘yang memenuhi syarat’.  Hal ini harus dirinci dalam daftar ketentuan.</w:t>
      </w:r>
    </w:p>
  </w:footnote>
  <w:footnote w:id="5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Dalam konteks ini, biaya-biaya pembiayaan yang dimaksud adalah: (1) biaya-biaya dan pengeluaran-pengeluaran untuk para penasihat, (2) biaya-biaya, ongkos-ongkos dan pengeluaran-pengeluaran harus dibayarkan oleh Para Pihak Pembiayaan, (3) biaya-biaya untuk membuat dan menandatangani perjanjian lindung nilai, dan (4) bunga selama konstruksi (dengan mempertimbangkan pembayaran-pembayaran lindung nilai terjadwal) (kecuali bunga tersebut akan dikapitalisasi dan ditambahkan ke jumlah pokok Pinjaman-pinjaman).</w:t>
      </w:r>
    </w:p>
  </w:footnote>
  <w:footnote w:id="5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Apabila ekuitas pada awalnya didanai melalui Fasilitas Talangan Ekuitas (</w:t>
      </w:r>
      <w:r>
        <w:rPr>
          <w:rFonts w:ascii="Arial" w:hAnsi="Arial" w:cs="Arial"/>
          <w:i/>
          <w:iCs/>
          <w:sz w:val="16"/>
          <w:szCs w:val="16"/>
        </w:rPr>
        <w:t>Equity Bridge Facility</w:t>
      </w:r>
      <w:r>
        <w:rPr>
          <w:rFonts w:ascii="Arial" w:hAnsi="Arial" w:cs="Arial"/>
          <w:sz w:val="16"/>
          <w:szCs w:val="16"/>
        </w:rPr>
        <w:t>), perlu dipertimbangkan apakah (dan sejauh mana) biaya-biaya pembiayaan sehubungan dengan Fasilitas Talangan Ekuitas (</w:t>
      </w:r>
      <w:r>
        <w:rPr>
          <w:rFonts w:ascii="Arial" w:hAnsi="Arial" w:cs="Arial"/>
          <w:i/>
          <w:iCs/>
          <w:sz w:val="16"/>
          <w:szCs w:val="16"/>
        </w:rPr>
        <w:t>Equity Bridge Facility</w:t>
      </w:r>
      <w:r>
        <w:rPr>
          <w:rFonts w:ascii="Arial" w:hAnsi="Arial" w:cs="Arial"/>
          <w:sz w:val="16"/>
          <w:szCs w:val="16"/>
        </w:rPr>
        <w:t>) dapat didanai sebagai Biaya Proyek.</w:t>
      </w:r>
    </w:p>
  </w:footnote>
  <w:footnote w:id="5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Dengan asumsi ini hal-hal ini didanai dengan utang dan ekuitas. Beberapa ketentuan ECA sensitif terhadap hasil-hasil pinjaman yang digunakan untuk mendanai saldo awal DSRA. Sesuaikan sebagaimana mestinya.  </w:t>
      </w:r>
    </w:p>
  </w:footnote>
  <w:footnote w:id="5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Definisi yang akan disesuaikan berdasarkan spesifikasi-spesifikasi Proyek.</w:t>
      </w:r>
    </w:p>
  </w:footnote>
  <w:footnote w:id="5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ab/>
      </w:r>
      <w:r>
        <w:rPr>
          <w:rFonts w:ascii="Arial" w:hAnsi="Arial" w:cs="Arial"/>
          <w:sz w:val="16"/>
          <w:szCs w:val="16"/>
        </w:rPr>
        <w:tab/>
      </w:r>
      <w:r>
        <w:rPr>
          <w:rFonts w:ascii="Arial" w:hAnsi="Arial" w:cs="Arial"/>
          <w:sz w:val="16"/>
          <w:szCs w:val="16"/>
        </w:rPr>
        <w:t xml:space="preserve">Masukkan sebagaimana mestinya, tergantung pada apakah fasilitas bergulir, atau fasilitas </w:t>
      </w:r>
      <w:r>
        <w:rPr>
          <w:rFonts w:ascii="Arial" w:hAnsi="Arial" w:cs="Arial"/>
          <w:i/>
          <w:sz w:val="16"/>
          <w:szCs w:val="16"/>
        </w:rPr>
        <w:t>letter of credit</w:t>
      </w:r>
      <w:r>
        <w:rPr>
          <w:rFonts w:ascii="Arial" w:hAnsi="Arial" w:cs="Arial"/>
          <w:sz w:val="16"/>
          <w:szCs w:val="16"/>
        </w:rPr>
        <w:t>, diberikan.</w:t>
      </w:r>
    </w:p>
  </w:footnote>
  <w:footnote w:id="5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Para Pihak akan mempertimbangkan apakah dasar nol untuk tolok ukur yang berlaku harus dimasukkan.</w:t>
      </w:r>
    </w:p>
  </w:footnote>
  <w:footnote w:id="6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Masukkan jika ada fasilitas </w:t>
      </w:r>
      <w:r>
        <w:rPr>
          <w:rFonts w:ascii="Arial" w:hAnsi="Arial" w:cs="Arial"/>
          <w:i/>
          <w:sz w:val="16"/>
          <w:szCs w:val="16"/>
        </w:rPr>
        <w:t>letter of credit</w:t>
      </w:r>
      <w:r>
        <w:rPr>
          <w:rFonts w:ascii="Arial" w:hAnsi="Arial" w:cs="Arial"/>
          <w:sz w:val="16"/>
          <w:szCs w:val="16"/>
        </w:rPr>
        <w:t>.</w:t>
      </w:r>
    </w:p>
  </w:footnote>
  <w:footnote w:id="6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Fasilitas Modal Kerja mungkin tidak diperlukan sampai Tanggal Operasi Komersial atau tepat sebelum Tanggal Operasi Komersial. </w:t>
      </w:r>
    </w:p>
  </w:footnote>
  <w:footnote w:id="6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Batasan jumlah pinjaman-pinjaman yang mungkin terutang pada umumnya dimasukkan untuk keperluan administrasi (agar Para Agen Fasilitas terkait tidak terlalu terbebani). Hal ini perlu dipertimbangkan bersama dengan waktu pembayaran Biaya-biaya Proyek berdasarkan Dokumen-dokumen Proyek. </w:t>
      </w:r>
    </w:p>
  </w:footnote>
  <w:footnote w:id="6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Para Pihak akan mempertimbangkan apakah dasar nol untuk tolok ukur yang berlaku harus dimasukkan.</w:t>
      </w:r>
    </w:p>
  </w:footnote>
  <w:footnote w:id="6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eastAsia="Times New Roman" w:cs="Arial"/>
          <w:sz w:val="16"/>
          <w:szCs w:val="16"/>
          <w:lang w:val="en-AU"/>
        </w:rPr>
        <w:t xml:space="preserve">Tanggal berakhirnya Periode Ketersediaan harus ditetapkan agar </w:t>
      </w:r>
      <w:r>
        <w:rPr>
          <w:rFonts w:ascii="Arial" w:hAnsi="Arial" w:eastAsia="Times New Roman" w:cs="Arial"/>
          <w:sz w:val="16"/>
          <w:szCs w:val="16"/>
          <w:lang w:val="en-US"/>
        </w:rPr>
        <w:t>pembengkakan</w:t>
      </w:r>
      <w:r>
        <w:rPr>
          <w:rFonts w:ascii="Arial" w:hAnsi="Arial" w:eastAsia="Times New Roman" w:cs="Arial"/>
          <w:sz w:val="16"/>
          <w:szCs w:val="16"/>
          <w:lang w:val="en-AU"/>
        </w:rPr>
        <w:t xml:space="preserve"> Biaya Proyek dapat diberi pendanaan pada saat jatuh tempo</w:t>
      </w:r>
      <w:r>
        <w:rPr>
          <w:rFonts w:ascii="Arial" w:hAnsi="Arial" w:cs="Arial"/>
          <w:sz w:val="16"/>
          <w:szCs w:val="16"/>
        </w:rPr>
        <w:t>.</w:t>
      </w:r>
    </w:p>
  </w:footnote>
  <w:footnote w:id="6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Para Pihak akan mempertimbangkan apakah dasar nol untuk tolok ukur yang berlaku harus dimasukkan.</w:t>
      </w:r>
    </w:p>
  </w:footnote>
  <w:footnote w:id="6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Batasan jumlah pinjaman-pinjaman yang mungkin terutang pada umumnya dimasukkan untuk keperluan administrasi (agar Para Agen Fasilitas terkait tidak terlalu terbebani). Hal ini perlu dipertimbangkan bersama dengan waktu pembayaran Biaya-biaya Proyek berdasarkan Dokumen-dokumen Proyek. </w:t>
      </w:r>
    </w:p>
  </w:footnote>
  <w:footnote w:id="6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Hal ini harus disesuaikan untuk mencerminkan ketentuan-ketentuan ECA terkait.</w:t>
      </w:r>
    </w:p>
  </w:footnote>
  <w:footnote w:id="6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Para Pihak akan mempertimbangkan apakah dasar nol untuk tolok ukur yang berlaku harus dimasukkan.</w:t>
      </w:r>
    </w:p>
  </w:footnote>
  <w:footnote w:id="6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Batasan jumlah pinjaman-pinjaman yang mungkin terutang pada umumnya dimasukkan untuk keperluan administrasi (agar Para Agen Fasilitas terkait tidak terlalu terbebani). Hal ini perlu dipertimbangkan bersama dengan waktu pembayaran Biaya-biaya Proyek berdasarkan Dokumen-dokumen Proyek. </w:t>
      </w:r>
    </w:p>
  </w:footnote>
  <w:footnote w:id="7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ECA yang berbeda memiliki persyaratan-persyaratan kebijakan yang berbeda. Hal ini harus diatur secara rinci dalam daftar ketentuan. </w:t>
      </w:r>
    </w:p>
  </w:footnote>
  <w:footnote w:id="7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Hal ini harus disesuaikan untuk mencerminkan ketentuan-ketentuan </w:t>
      </w:r>
      <w:r>
        <w:rPr>
          <w:rFonts w:ascii="Arial" w:hAnsi="Arial" w:cs="Arial"/>
          <w:sz w:val="16"/>
          <w:szCs w:val="16"/>
          <w:lang w:val="en-US"/>
        </w:rPr>
        <w:t>DFI</w:t>
      </w:r>
      <w:r>
        <w:rPr>
          <w:rFonts w:ascii="Arial" w:hAnsi="Arial" w:cs="Arial"/>
          <w:sz w:val="16"/>
          <w:szCs w:val="16"/>
        </w:rPr>
        <w:t xml:space="preserve"> terkait.</w:t>
      </w:r>
    </w:p>
  </w:footnote>
  <w:footnote w:id="7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Para Pihak akan mempertimbangkan apakah dasar nol untuk tolok ukur yang berlaku harus dimasukkan.</w:t>
      </w:r>
    </w:p>
  </w:footnote>
  <w:footnote w:id="7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Batasan jumlah pinjaman-pinjaman yang mungkin terutang pada umumnya dimasukkan untuk keperluan administrasi (agar Para Agen Fasilitas terkait tidak terlalu terbebani). Hal ini perlu dipertimbangkan bersama dengan waktu pembayaran Biaya-biaya Proyek berdasarkan Dokumen-dokumen Proyek. </w:t>
      </w:r>
    </w:p>
  </w:footnote>
  <w:footnote w:id="7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Para Pihak akan mempertimbangkan apakah dasar nol untuk tolok ukur yang berlaku harus dimasukkan.</w:t>
      </w:r>
    </w:p>
  </w:footnote>
  <w:footnote w:id="7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bookmarkStart w:id="322" w:name="_Hlk55477629"/>
      <w:r>
        <w:rPr>
          <w:rFonts w:ascii="Arial" w:hAnsi="Arial" w:cs="Arial"/>
          <w:sz w:val="16"/>
          <w:szCs w:val="16"/>
        </w:rPr>
        <w:t>Fasilitas</w:t>
      </w:r>
      <w:r>
        <w:rPr>
          <w:rFonts w:ascii="Arial" w:hAnsi="Arial" w:cs="Arial"/>
          <w:sz w:val="16"/>
          <w:szCs w:val="16"/>
          <w:lang w:val="en-US"/>
        </w:rPr>
        <w:t>-fasilitas</w:t>
      </w:r>
      <w:r>
        <w:rPr>
          <w:rFonts w:ascii="Arial" w:hAnsi="Arial" w:cs="Arial"/>
          <w:sz w:val="16"/>
          <w:szCs w:val="16"/>
        </w:rPr>
        <w:t xml:space="preserve"> pembiayaan proyek di Asia Tenggara biasanya merupakan fasilitas-fasilitas jangka panjang yang dibayar kembali secara bertahap (amortisasi) dan bukan sekaligus (</w:t>
      </w:r>
      <w:r>
        <w:rPr>
          <w:rFonts w:ascii="Arial" w:hAnsi="Arial" w:cs="Arial"/>
          <w:i/>
          <w:sz w:val="16"/>
          <w:szCs w:val="16"/>
        </w:rPr>
        <w:t>bullet</w:t>
      </w:r>
      <w:r>
        <w:rPr>
          <w:rFonts w:ascii="Arial" w:hAnsi="Arial" w:cs="Arial"/>
          <w:sz w:val="16"/>
          <w:szCs w:val="16"/>
        </w:rPr>
        <w:t>). Namun klausul pembayaran kembali dapat diatur secara berbeda (misalnya sebagai suatu pembayaran kembali pada saat jatuh tempo) jika, misalnya, struktur jangka pendek (</w:t>
      </w:r>
      <w:r>
        <w:rPr>
          <w:rFonts w:ascii="Arial" w:hAnsi="Arial" w:cs="Arial"/>
          <w:i/>
          <w:sz w:val="16"/>
          <w:szCs w:val="16"/>
        </w:rPr>
        <w:t>mini-perm</w:t>
      </w:r>
      <w:r>
        <w:rPr>
          <w:rFonts w:ascii="Arial" w:hAnsi="Arial" w:cs="Arial"/>
          <w:sz w:val="16"/>
          <w:szCs w:val="16"/>
        </w:rPr>
        <w:t xml:space="preserve">) digunakan. Jika ada Fasilitas apapun yang didukung oleh Lembaga Kredit Ekspor, maka mungkin terdapat pula ketentuan-ketentuan khusus terkait dengan jenis pembayaran kembali yang berlaku. </w:t>
      </w:r>
      <w:bookmarkEnd w:id="322"/>
    </w:p>
  </w:footnote>
  <w:footnote w:id="7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Masukkan jika lindung nilai diperlukan. Jenis-jenis program lindung nilai akan bergantung pada transaksi, termasuk apa saja hal yang diperbolehkan dalam yurisdiksi Proyek. Poin-poin penting yang perlu dipertimbangkan sehubungan dengan setiap strategi lindung nilai termasuk, antara lain:</w:t>
      </w:r>
    </w:p>
    <w:p>
      <w:pPr>
        <w:pStyle w:val="49"/>
        <w:numPr>
          <w:ilvl w:val="0"/>
          <w:numId w:val="11"/>
        </w:numPr>
        <w:tabs>
          <w:tab w:val="left" w:pos="426"/>
        </w:tabs>
        <w:spacing w:after="60"/>
        <w:ind w:left="993" w:hanging="363"/>
        <w:rPr>
          <w:rFonts w:ascii="Arial" w:hAnsi="Arial" w:cs="Arial"/>
          <w:sz w:val="16"/>
          <w:szCs w:val="16"/>
        </w:rPr>
      </w:pPr>
      <w:r>
        <w:rPr>
          <w:rFonts w:ascii="Arial" w:hAnsi="Arial" w:cs="Arial"/>
          <w:sz w:val="16"/>
          <w:szCs w:val="16"/>
        </w:rPr>
        <w:t xml:space="preserve">apa yang akan diberi lindung nilai (antara lain suku bunga, valuta asing, harga </w:t>
      </w:r>
      <w:r>
        <w:rPr>
          <w:rFonts w:ascii="Arial" w:hAnsi="Arial" w:cs="Arial"/>
          <w:i/>
          <w:sz w:val="16"/>
          <w:szCs w:val="16"/>
        </w:rPr>
        <w:t>input</w:t>
      </w:r>
      <w:r>
        <w:rPr>
          <w:rFonts w:ascii="Arial" w:hAnsi="Arial" w:cs="Arial"/>
          <w:sz w:val="16"/>
          <w:szCs w:val="16"/>
        </w:rPr>
        <w:t xml:space="preserve"> (misalnya bahan bakar), harga </w:t>
      </w:r>
      <w:r>
        <w:rPr>
          <w:rFonts w:ascii="Arial" w:hAnsi="Arial" w:cs="Arial"/>
          <w:i/>
          <w:sz w:val="16"/>
          <w:szCs w:val="16"/>
        </w:rPr>
        <w:t>output</w:t>
      </w:r>
      <w:r>
        <w:rPr>
          <w:rFonts w:ascii="Arial" w:hAnsi="Arial" w:cs="Arial"/>
          <w:sz w:val="16"/>
          <w:szCs w:val="16"/>
        </w:rPr>
        <w:t xml:space="preserve"> (misalnya bijih besi));</w:t>
      </w:r>
    </w:p>
    <w:p>
      <w:pPr>
        <w:pStyle w:val="49"/>
        <w:numPr>
          <w:ilvl w:val="0"/>
          <w:numId w:val="11"/>
        </w:numPr>
        <w:tabs>
          <w:tab w:val="left" w:pos="426"/>
        </w:tabs>
        <w:spacing w:after="60"/>
        <w:ind w:left="993" w:hanging="363"/>
        <w:rPr>
          <w:rFonts w:ascii="Arial" w:hAnsi="Arial" w:cs="Arial"/>
          <w:sz w:val="16"/>
          <w:szCs w:val="16"/>
        </w:rPr>
      </w:pPr>
      <w:r>
        <w:rPr>
          <w:rFonts w:ascii="Arial" w:hAnsi="Arial" w:cs="Arial"/>
          <w:sz w:val="16"/>
          <w:szCs w:val="16"/>
        </w:rPr>
        <w:t>kapan tepatnya lindung nilai akan dilakukan (misalnya pada saat pemenuhan pembiayaan, secara bertahap setelah pemenuhan pembiayaan);</w:t>
      </w:r>
    </w:p>
    <w:p>
      <w:pPr>
        <w:pStyle w:val="49"/>
        <w:numPr>
          <w:ilvl w:val="0"/>
          <w:numId w:val="11"/>
        </w:numPr>
        <w:tabs>
          <w:tab w:val="left" w:pos="426"/>
        </w:tabs>
        <w:spacing w:after="60"/>
        <w:ind w:left="993" w:hanging="363"/>
        <w:rPr>
          <w:rFonts w:ascii="Arial" w:hAnsi="Arial" w:cs="Arial"/>
          <w:sz w:val="16"/>
          <w:szCs w:val="16"/>
        </w:rPr>
      </w:pPr>
      <w:r>
        <w:rPr>
          <w:rFonts w:ascii="Arial" w:hAnsi="Arial" w:cs="Arial"/>
          <w:sz w:val="16"/>
          <w:szCs w:val="16"/>
        </w:rPr>
        <w:t>jenis lindung nilai apa (terkait jangka waktu) yang akan diberikan;</w:t>
      </w:r>
    </w:p>
    <w:p>
      <w:pPr>
        <w:pStyle w:val="49"/>
        <w:numPr>
          <w:ilvl w:val="0"/>
          <w:numId w:val="11"/>
        </w:numPr>
        <w:tabs>
          <w:tab w:val="left" w:pos="426"/>
        </w:tabs>
        <w:spacing w:after="60"/>
        <w:ind w:left="993" w:hanging="363"/>
        <w:rPr>
          <w:rFonts w:ascii="Arial" w:hAnsi="Arial" w:cs="Arial"/>
          <w:sz w:val="16"/>
          <w:szCs w:val="16"/>
        </w:rPr>
      </w:pPr>
      <w:r>
        <w:rPr>
          <w:rFonts w:ascii="Arial" w:hAnsi="Arial" w:cs="Arial"/>
          <w:sz w:val="16"/>
          <w:szCs w:val="16"/>
        </w:rPr>
        <w:t>berapa proporsi utang (atau jumlah pokok lainnya) yang harus diberi lindung nilai;</w:t>
      </w:r>
    </w:p>
    <w:p>
      <w:pPr>
        <w:pStyle w:val="49"/>
        <w:numPr>
          <w:ilvl w:val="0"/>
          <w:numId w:val="11"/>
        </w:numPr>
        <w:tabs>
          <w:tab w:val="left" w:pos="426"/>
        </w:tabs>
        <w:spacing w:after="60"/>
        <w:ind w:left="993" w:hanging="363"/>
        <w:rPr>
          <w:rFonts w:ascii="Arial" w:hAnsi="Arial" w:cs="Arial"/>
          <w:sz w:val="16"/>
          <w:szCs w:val="16"/>
        </w:rPr>
      </w:pPr>
      <w:r>
        <w:rPr>
          <w:rFonts w:ascii="Arial" w:hAnsi="Arial" w:cs="Arial"/>
          <w:sz w:val="16"/>
          <w:szCs w:val="16"/>
        </w:rPr>
        <w:t xml:space="preserve">siapa yang akan menjadi para pihak lawan berkontrak lindung nilai (misalnya hanya </w:t>
      </w:r>
      <w:r>
        <w:rPr>
          <w:rFonts w:ascii="Arial" w:hAnsi="Arial" w:cs="Arial"/>
          <w:i/>
          <w:sz w:val="16"/>
          <w:szCs w:val="16"/>
        </w:rPr>
        <w:t>Mandated Lead Arranger</w:t>
      </w:r>
      <w:r>
        <w:rPr>
          <w:rFonts w:ascii="Arial" w:hAnsi="Arial" w:cs="Arial"/>
          <w:sz w:val="16"/>
          <w:szCs w:val="16"/>
        </w:rPr>
        <w:t xml:space="preserve"> (MLA) atau Para Kreditur, atau MLA/Para Kreditur akan memiliki 'hak untuk memberi penawaran yang sama’ (</w:t>
      </w:r>
      <w:r>
        <w:rPr>
          <w:rFonts w:ascii="Arial" w:hAnsi="Arial" w:cs="Arial"/>
          <w:i/>
          <w:sz w:val="16"/>
          <w:szCs w:val="16"/>
        </w:rPr>
        <w:t>right to match</w:t>
      </w:r>
      <w:r>
        <w:rPr>
          <w:rFonts w:ascii="Arial" w:hAnsi="Arial" w:cs="Arial"/>
          <w:sz w:val="16"/>
          <w:szCs w:val="16"/>
        </w:rPr>
        <w:t>); haruskah para pihak tersebut memiliki peringkat tertentu; haruskah mereka keluar dari lindung nilai jika mereka keluar dari utang);</w:t>
      </w:r>
    </w:p>
    <w:p>
      <w:pPr>
        <w:pStyle w:val="49"/>
        <w:numPr>
          <w:ilvl w:val="0"/>
          <w:numId w:val="11"/>
        </w:numPr>
        <w:tabs>
          <w:tab w:val="left" w:pos="426"/>
        </w:tabs>
        <w:spacing w:after="60"/>
        <w:ind w:left="993" w:hanging="363"/>
        <w:rPr>
          <w:rFonts w:ascii="Arial" w:hAnsi="Arial" w:cs="Arial"/>
          <w:sz w:val="16"/>
          <w:szCs w:val="16"/>
        </w:rPr>
      </w:pPr>
      <w:r>
        <w:rPr>
          <w:rFonts w:ascii="Arial" w:hAnsi="Arial" w:cs="Arial"/>
          <w:sz w:val="16"/>
          <w:szCs w:val="16"/>
        </w:rPr>
        <w:t>jaminan dan hak-hak suara apa yang akan dimiliki oleh para pihak lawan</w:t>
      </w:r>
      <w:r>
        <w:rPr>
          <w:rFonts w:ascii="Arial" w:hAnsi="Arial" w:cs="Arial"/>
          <w:sz w:val="16"/>
          <w:szCs w:val="16"/>
          <w:lang w:val="en-US"/>
        </w:rPr>
        <w:t xml:space="preserve"> berkontrak lindung nilai</w:t>
      </w:r>
      <w:r>
        <w:rPr>
          <w:rFonts w:ascii="Arial" w:hAnsi="Arial" w:cs="Arial"/>
          <w:sz w:val="16"/>
          <w:szCs w:val="16"/>
        </w:rPr>
        <w:t>; dan</w:t>
      </w:r>
    </w:p>
    <w:p>
      <w:pPr>
        <w:pStyle w:val="49"/>
        <w:numPr>
          <w:ilvl w:val="0"/>
          <w:numId w:val="11"/>
        </w:numPr>
        <w:tabs>
          <w:tab w:val="left" w:pos="426"/>
        </w:tabs>
        <w:spacing w:after="60"/>
        <w:ind w:left="993" w:hanging="363"/>
        <w:rPr>
          <w:rFonts w:ascii="Arial" w:hAnsi="Arial" w:cs="Arial"/>
          <w:sz w:val="16"/>
          <w:szCs w:val="16"/>
        </w:rPr>
      </w:pPr>
      <w:r>
        <w:rPr>
          <w:rFonts w:ascii="Arial" w:hAnsi="Arial" w:cs="Arial"/>
          <w:sz w:val="16"/>
          <w:szCs w:val="16"/>
        </w:rPr>
        <w:t>bentuk dokumen</w:t>
      </w:r>
      <w:r>
        <w:rPr>
          <w:rFonts w:ascii="Arial" w:hAnsi="Arial" w:cs="Arial"/>
          <w:sz w:val="16"/>
          <w:szCs w:val="16"/>
          <w:lang w:val="en-US"/>
        </w:rPr>
        <w:t xml:space="preserve">-dokumen </w:t>
      </w:r>
      <w:r>
        <w:rPr>
          <w:rFonts w:ascii="Arial" w:hAnsi="Arial" w:cs="Arial"/>
          <w:sz w:val="16"/>
          <w:szCs w:val="16"/>
        </w:rPr>
        <w:t xml:space="preserve">lindung nilai. </w:t>
      </w:r>
    </w:p>
  </w:footnote>
  <w:footnote w:id="77">
    <w:p>
      <w:pPr>
        <w:pStyle w:val="26"/>
        <w:spacing w:after="60"/>
        <w:ind w:left="240" w:hanging="240" w:hangingChars="150"/>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Jika persyaratan ini disertakan, maka tidak diperlukan adanya pengujian Biaya Penyelesaian (</w:t>
      </w:r>
      <w:r>
        <w:rPr>
          <w:rFonts w:ascii="Arial" w:hAnsi="Arial" w:cs="Arial"/>
          <w:i/>
          <w:sz w:val="16"/>
          <w:szCs w:val="16"/>
        </w:rPr>
        <w:t>Cost to Complete</w:t>
      </w:r>
      <w:r>
        <w:rPr>
          <w:rFonts w:ascii="Arial" w:hAnsi="Arial" w:cs="Arial"/>
          <w:sz w:val="16"/>
          <w:szCs w:val="16"/>
        </w:rPr>
        <w:t>)</w:t>
      </w:r>
      <w:r>
        <w:rPr>
          <w:rFonts w:ascii="Arial" w:hAnsi="Arial" w:cs="Arial"/>
          <w:sz w:val="16"/>
          <w:szCs w:val="16"/>
          <w:lang w:val="en-US"/>
        </w:rPr>
        <w:t xml:space="preserve"> </w:t>
      </w:r>
      <w:r>
        <w:rPr>
          <w:rFonts w:ascii="Arial" w:hAnsi="Arial" w:cs="Arial"/>
          <w:sz w:val="16"/>
          <w:szCs w:val="16"/>
        </w:rPr>
        <w:t>terhadap setiap percepatan pelunasan.</w:t>
      </w:r>
    </w:p>
  </w:footnote>
  <w:footnote w:id="78">
    <w:p>
      <w:pPr>
        <w:pStyle w:val="26"/>
        <w:tabs>
          <w:tab w:val="clear" w:pos="113"/>
        </w:tabs>
        <w:spacing w:after="60"/>
        <w:ind w:left="432" w:hanging="432"/>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Peristiwa-peristiwa percepatan pelunasan wajib mungkin berbeda antara satu proyek dan proyek lainnya.</w:t>
      </w:r>
    </w:p>
  </w:footnote>
  <w:footnote w:id="79">
    <w:p>
      <w:pPr>
        <w:pStyle w:val="26"/>
        <w:tabs>
          <w:tab w:val="clear" w:pos="113"/>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Beberapa kesepakatan juga dapat, tergantung pada sektor yang terkait dengan Proyek, mencakup </w:t>
      </w:r>
      <w:r>
        <w:rPr>
          <w:rFonts w:ascii="Arial" w:hAnsi="Arial" w:cs="Arial"/>
          <w:i/>
          <w:sz w:val="16"/>
          <w:szCs w:val="16"/>
        </w:rPr>
        <w:t>cash sweep</w:t>
      </w:r>
      <w:r>
        <w:rPr>
          <w:rFonts w:ascii="Arial" w:hAnsi="Arial" w:cs="Arial"/>
          <w:sz w:val="16"/>
          <w:szCs w:val="16"/>
        </w:rPr>
        <w:t xml:space="preserve">.  </w:t>
      </w:r>
      <w:r>
        <w:rPr>
          <w:rFonts w:ascii="Arial" w:hAnsi="Arial" w:cs="Arial"/>
          <w:i/>
          <w:sz w:val="16"/>
          <w:szCs w:val="16"/>
        </w:rPr>
        <w:t>Cash sweep</w:t>
      </w:r>
      <w:r>
        <w:rPr>
          <w:rFonts w:ascii="Arial" w:hAnsi="Arial" w:cs="Arial"/>
          <w:sz w:val="16"/>
          <w:szCs w:val="16"/>
        </w:rPr>
        <w:t xml:space="preserve"> merupakan bentuk percepatan pelunasan wajib, yang mensyaratkan proporsi (yang dapat mencapai 100%) dari kelebihan arus kas dari proyek untuk digunakan untuk membayar kembali utang (meskipun seharusnya kelebihan arus kas tersebut digunakan untuk memberi pengembalian modal kepada para sponsor). </w:t>
      </w:r>
    </w:p>
  </w:footnote>
  <w:footnote w:id="80">
    <w:p>
      <w:pPr>
        <w:pStyle w:val="26"/>
        <w:tabs>
          <w:tab w:val="clear" w:pos="113"/>
        </w:tabs>
        <w:spacing w:after="60"/>
        <w:ind w:left="432" w:hanging="432"/>
        <w:rPr>
          <w:rFonts w:ascii="Arial" w:hAnsi="Arial" w:cs="Arial"/>
          <w:sz w:val="16"/>
          <w:szCs w:val="16"/>
        </w:rPr>
      </w:pPr>
      <w:r>
        <w:rPr>
          <w:rStyle w:val="25"/>
          <w:rFonts w:ascii="Arial" w:hAnsi="Arial" w:cs="Arial"/>
          <w:sz w:val="16"/>
          <w:szCs w:val="16"/>
        </w:rPr>
        <w:footnoteRef/>
      </w:r>
      <w:r>
        <w:rPr>
          <w:rFonts w:ascii="Arial" w:hAnsi="Arial" w:cs="Arial"/>
          <w:sz w:val="16"/>
          <w:szCs w:val="16"/>
        </w:rPr>
        <w:tab/>
      </w:r>
      <w:r>
        <w:rPr>
          <w:rFonts w:ascii="Arial" w:hAnsi="Arial" w:cs="Arial"/>
          <w:sz w:val="16"/>
          <w:szCs w:val="16"/>
          <w:lang w:val="en-US"/>
        </w:rPr>
        <w:t>Ketentuan ini mengatur bahwa proporsi hasil-hasil klaim asuransi yang disyaratkan untuk digunakan untuk membayar percepatan pelunasan wajib merupakan bagian yang diperlukan untuk mengembalikan tingkat rasio ke ambang batas yang disepakati/rasio-rasio kasus dasar. Beberapa kreditur mungkin meminta 100% dari hasil-hasil klaim asuransi untuk digunakan untuk membayar percepatan pelunasan wajib.  Ubah jika perlu.</w:t>
      </w:r>
    </w:p>
  </w:footnote>
  <w:footnote w:id="81">
    <w:p>
      <w:pPr>
        <w:pStyle w:val="26"/>
        <w:tabs>
          <w:tab w:val="clear" w:pos="113"/>
        </w:tabs>
        <w:spacing w:after="60"/>
        <w:ind w:left="432" w:hanging="432"/>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ab/>
      </w:r>
      <w:r>
        <w:rPr>
          <w:rFonts w:ascii="Arial" w:hAnsi="Arial" w:cs="Arial"/>
          <w:sz w:val="16"/>
          <w:szCs w:val="16"/>
          <w:lang w:val="en-US"/>
        </w:rPr>
        <w:t>Mungkin ada beberapa kontrak dimana ganti rugi yang ditetapkan nilainya dapat dibayarkan – sebagai contoh, kontrak konstruksi, perjanjian konsensi dan kontrak kerja sama jual beli (</w:t>
      </w:r>
      <w:r>
        <w:rPr>
          <w:rFonts w:ascii="Arial" w:hAnsi="Arial" w:cs="Arial"/>
          <w:i/>
          <w:iCs/>
          <w:sz w:val="16"/>
          <w:szCs w:val="16"/>
          <w:lang w:val="en-US"/>
        </w:rPr>
        <w:t>offtake</w:t>
      </w:r>
      <w:r>
        <w:rPr>
          <w:rFonts w:ascii="Arial" w:hAnsi="Arial" w:cs="Arial"/>
          <w:sz w:val="16"/>
          <w:szCs w:val="16"/>
          <w:lang w:val="en-US"/>
        </w:rPr>
        <w:t>) – suatu pendekatan alternatif adalah untuk membuat daftar semua kontrak semacam itu di sini.</w:t>
      </w:r>
    </w:p>
  </w:footnote>
  <w:footnote w:id="82">
    <w:p>
      <w:pPr>
        <w:pStyle w:val="26"/>
        <w:tabs>
          <w:tab w:val="clear" w:pos="113"/>
        </w:tabs>
        <w:spacing w:after="60"/>
        <w:ind w:left="432" w:hanging="432"/>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Lihat catatan kaki 150 di bawah.</w:t>
      </w:r>
    </w:p>
  </w:footnote>
  <w:footnote w:id="83">
    <w:p>
      <w:pPr>
        <w:pStyle w:val="26"/>
        <w:tabs>
          <w:tab w:val="clear" w:pos="113"/>
        </w:tabs>
        <w:spacing w:after="60"/>
        <w:ind w:left="432" w:hanging="432"/>
        <w:rPr>
          <w:lang w:val="en-US"/>
        </w:rPr>
      </w:pPr>
      <w:r>
        <w:rPr>
          <w:rStyle w:val="25"/>
        </w:rPr>
        <w:footnoteRef/>
      </w:r>
      <w:r>
        <w:t xml:space="preserve"> </w:t>
      </w:r>
      <w:r>
        <w:tab/>
      </w:r>
      <w:r>
        <w:rPr>
          <w:rFonts w:ascii="Arial" w:hAnsi="Arial" w:cs="Arial"/>
          <w:sz w:val="16"/>
          <w:szCs w:val="16"/>
          <w:lang w:val="en-US"/>
        </w:rPr>
        <w:t>Perbarui</w:t>
      </w:r>
      <w:r>
        <w:rPr>
          <w:rFonts w:ascii="Arial" w:hAnsi="Arial" w:cs="Arial"/>
          <w:sz w:val="16"/>
          <w:szCs w:val="16"/>
        </w:rPr>
        <w:t xml:space="preserve"> hal ini untuk menyertakan Fasilitas-fasilitas yang akan dipercepat pelunasannya setelah terjadinya peristiwa-peristiwa yang disebutkan di atas. Pada umumnya, Fasilitas Talangan Ekuitas (</w:t>
      </w:r>
      <w:r>
        <w:rPr>
          <w:rFonts w:ascii="Arial" w:hAnsi="Arial" w:cs="Arial"/>
          <w:i/>
          <w:iCs/>
          <w:sz w:val="16"/>
          <w:szCs w:val="16"/>
        </w:rPr>
        <w:t>Bridge Equity Facility</w:t>
      </w:r>
      <w:r>
        <w:rPr>
          <w:rFonts w:ascii="Arial" w:hAnsi="Arial" w:cs="Arial"/>
          <w:sz w:val="16"/>
          <w:szCs w:val="16"/>
        </w:rPr>
        <w:t>) dan Fasilitas PPN/Pajak Barang dan Jasa (</w:t>
      </w:r>
      <w:r>
        <w:rPr>
          <w:rFonts w:ascii="Arial" w:hAnsi="Arial" w:cs="Arial"/>
          <w:i/>
          <w:iCs/>
          <w:sz w:val="16"/>
          <w:szCs w:val="16"/>
        </w:rPr>
        <w:t>GST</w:t>
      </w:r>
      <w:r>
        <w:rPr>
          <w:rFonts w:ascii="Arial" w:hAnsi="Arial" w:cs="Arial"/>
          <w:sz w:val="16"/>
          <w:szCs w:val="16"/>
        </w:rPr>
        <w:t>) tidak akan dipercepat pelunasannya (kecuali, dalam hal Fasilitas PPN/ Pajak Barang dan Jasa (</w:t>
      </w:r>
      <w:r>
        <w:rPr>
          <w:rFonts w:ascii="Arial" w:hAnsi="Arial" w:cs="Arial"/>
          <w:i/>
          <w:iCs/>
          <w:sz w:val="16"/>
          <w:szCs w:val="16"/>
        </w:rPr>
        <w:t>GST</w:t>
      </w:r>
      <w:r>
        <w:rPr>
          <w:rFonts w:ascii="Arial" w:hAnsi="Arial" w:cs="Arial"/>
          <w:sz w:val="16"/>
          <w:szCs w:val="16"/>
        </w:rPr>
        <w:t>), ini merupakan skenario dimana pembiayaan proyek tidak lagi memadai). Peristiwa-peristiwa tertentu hanya dapat menyebabkan percepatan pelunasan atas suatu fasilitas (misalnya, hilangnya pertanggungan ECA berdasarkan Fasilitas ECA akan menyebabkan percepatan pelunasan terhadap Fasilitas ECA tersebut).</w:t>
      </w:r>
    </w:p>
  </w:footnote>
  <w:footnote w:id="84">
    <w:p>
      <w:pPr>
        <w:pStyle w:val="26"/>
        <w:tabs>
          <w:tab w:val="clear" w:pos="113"/>
        </w:tabs>
        <w:spacing w:after="60"/>
        <w:ind w:left="0" w:firstLine="0"/>
        <w:rPr>
          <w:rFonts w:ascii="Arial" w:hAnsi="Arial" w:cs="Arial"/>
          <w:sz w:val="16"/>
          <w:szCs w:val="16"/>
        </w:rPr>
      </w:pPr>
    </w:p>
    <w:p>
      <w:pPr>
        <w:pStyle w:val="26"/>
        <w:tabs>
          <w:tab w:val="clear" w:pos="113"/>
        </w:tabs>
        <w:spacing w:after="60"/>
        <w:ind w:left="432" w:hanging="432"/>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Strategi Lindung Nilai biasanya akan memerlukan proporsi tertentu (umumnya dinyatakan sebagai kisaran) dari utang yang akan diberi lindung nilai.  Jika jumlah utang berkurang, proyek mungkin akan menerima </w:t>
      </w:r>
      <w:r>
        <w:rPr>
          <w:rFonts w:ascii="Arial" w:hAnsi="Arial" w:cs="Arial"/>
          <w:sz w:val="16"/>
          <w:szCs w:val="16"/>
          <w:lang w:val="en-US"/>
        </w:rPr>
        <w:t>“</w:t>
      </w:r>
      <w:r>
        <w:rPr>
          <w:rFonts w:ascii="Arial" w:hAnsi="Arial" w:cs="Arial"/>
          <w:sz w:val="16"/>
          <w:szCs w:val="16"/>
        </w:rPr>
        <w:t>kelebihan lindung nilai".</w:t>
      </w:r>
    </w:p>
  </w:footnote>
  <w:footnote w:id="85">
    <w:p>
      <w:pPr>
        <w:pStyle w:val="26"/>
        <w:tabs>
          <w:tab w:val="clear" w:pos="113"/>
        </w:tabs>
        <w:spacing w:after="60"/>
        <w:ind w:left="432" w:hanging="432"/>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Jika pembatalan sukarela diperbolehkan, harap pertimbangkan apakah pembatalan harus dilakukan secara pro rata terhadap seluruh fasilitas atau secara lain.</w:t>
      </w:r>
    </w:p>
  </w:footnote>
  <w:footnote w:id="86">
    <w:p>
      <w:pPr>
        <w:pStyle w:val="26"/>
        <w:tabs>
          <w:tab w:val="left" w:pos="426"/>
        </w:tabs>
        <w:spacing w:after="60"/>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Ubah jika perlu.</w:t>
      </w:r>
    </w:p>
  </w:footnote>
  <w:footnote w:id="87">
    <w:p>
      <w:pPr>
        <w:pStyle w:val="26"/>
        <w:tabs>
          <w:tab w:val="left" w:pos="426"/>
        </w:tabs>
        <w:spacing w:after="60"/>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Lihat catatan kaki no.</w:t>
      </w:r>
      <w:r>
        <w:rPr>
          <w:rFonts w:ascii="Arial" w:hAnsi="Arial" w:cs="Arial"/>
          <w:sz w:val="16"/>
          <w:szCs w:val="16"/>
        </w:rPr>
        <w:fldChar w:fldCharType="begin"/>
      </w:r>
      <w:r>
        <w:rPr>
          <w:rFonts w:ascii="Arial" w:hAnsi="Arial" w:cs="Arial"/>
          <w:sz w:val="16"/>
          <w:szCs w:val="16"/>
        </w:rPr>
        <w:instrText xml:space="preserve"> NOTEREF _Ref25690329 \h  \* MERGEFORMAT </w:instrText>
      </w:r>
      <w:r>
        <w:rPr>
          <w:rFonts w:ascii="Arial" w:hAnsi="Arial" w:cs="Arial"/>
          <w:sz w:val="16"/>
          <w:szCs w:val="16"/>
        </w:rPr>
        <w:fldChar w:fldCharType="separate"/>
      </w:r>
      <w:r>
        <w:rPr>
          <w:rFonts w:ascii="Arial" w:hAnsi="Arial" w:cs="Arial"/>
          <w:sz w:val="16"/>
          <w:szCs w:val="16"/>
        </w:rPr>
        <w:t>81</w:t>
      </w:r>
      <w:r>
        <w:rPr>
          <w:rFonts w:ascii="Arial" w:hAnsi="Arial" w:cs="Arial"/>
          <w:sz w:val="16"/>
          <w:szCs w:val="16"/>
        </w:rPr>
        <w:fldChar w:fldCharType="end"/>
      </w:r>
      <w:r>
        <w:rPr>
          <w:rFonts w:ascii="Arial" w:hAnsi="Arial" w:cs="Arial"/>
          <w:sz w:val="16"/>
          <w:szCs w:val="16"/>
        </w:rPr>
        <w:t xml:space="preserve"> di atas.</w:t>
      </w:r>
    </w:p>
  </w:footnote>
  <w:footnote w:id="88">
    <w:p>
      <w:pPr>
        <w:pStyle w:val="26"/>
        <w:tabs>
          <w:tab w:val="clear" w:pos="113"/>
        </w:tabs>
        <w:spacing w:after="60"/>
        <w:ind w:left="426" w:hanging="426"/>
        <w:rPr>
          <w:rFonts w:ascii="Arial" w:hAnsi="Arial" w:cs="Arial"/>
          <w:b/>
          <w:bCs/>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Karena perbedaan antara bagaimana pendapatan proyek yang berbeda distrukturisasi bersama dengan peraturan-peraturan yang berlaku terhadap rekening-rekening di setiap yurisdiksi, ketentuan-ketentuan tentang rekening bank biasanya disertakan dalam perjanjian rekening terpisah – terutama jika ada pemisahan rekening bank dalam negeri dan luar negeri seperti yang diasumsikan di sini.  Lihat catatan kaki no.95 di bawah untuk struktur rekening yang diusulkan.</w:t>
      </w:r>
    </w:p>
  </w:footnote>
  <w:footnote w:id="8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Perusahaan Proyek dapat memperoleh manfaat dari jaminan-jaminan (alih-alih perjanjian langsung) dari pihak berwenang terkait sehubungan dengan persetujuan/otorisasi dan hal-hal ini biasanya akan disebutkan juga di sini.</w:t>
      </w:r>
    </w:p>
  </w:footnote>
  <w:footnote w:id="9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 xml:space="preserve">Format </w:t>
      </w:r>
      <w:r>
        <w:rPr>
          <w:rFonts w:ascii="Arial" w:hAnsi="Arial" w:cs="Arial"/>
          <w:sz w:val="16"/>
          <w:szCs w:val="16"/>
        </w:rPr>
        <w:t>dan sifat perjanjian yang disyaratkan akan tergantung pada apakah ada kewajiban yang dibebankan kepada Sponsor/Pemegang Saham selain bantuan ekuitas, seperti jaminan penyelesaian.</w:t>
      </w:r>
    </w:p>
  </w:footnote>
  <w:footnote w:id="9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Daftar jaminan yang diatur dalam daftar ketentuan ini mencakup apa yang akan disertakan dalam paket jaminan Para Kreditur pada umumnya. Namun, rincian paket jaminan pada proyek tertentu akan khusus dan bergantung pada yurisdiksi setempat dan entitas.</w:t>
      </w:r>
    </w:p>
  </w:footnote>
  <w:footnote w:id="9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Lihat bagian Rekening-rekening Proyek di bawah – struktur rekening yang diusulkan dalam daftar ketentuan ini mencakup Rekening Distribusi yang mana jumlah dari </w:t>
      </w:r>
      <w:r>
        <w:rPr>
          <w:rFonts w:ascii="Arial" w:hAnsi="Arial" w:cs="Arial"/>
          <w:i/>
          <w:sz w:val="16"/>
          <w:szCs w:val="16"/>
        </w:rPr>
        <w:t>cash waterfall</w:t>
      </w:r>
      <w:r>
        <w:rPr>
          <w:rFonts w:ascii="Arial" w:hAnsi="Arial" w:cs="Arial"/>
          <w:sz w:val="16"/>
          <w:szCs w:val="16"/>
        </w:rPr>
        <w:t xml:space="preserve"> dialihkan ke dalamnya jika Pengujian-pengujian Distribusi terpenuhi. Jika struktur ini digunakan, Rekening Distribusi sering kali tidak dijamin.</w:t>
      </w:r>
    </w:p>
  </w:footnote>
  <w:footnote w:id="9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Sertakan Dokumen-dokumen Jaminan lainnya yang sesuai untuk transaksi, sebagaimana direkomendasikan oleh penasihat setempat, antara lain surat kuasa dengan jaminan.</w:t>
      </w:r>
    </w:p>
  </w:footnote>
  <w:footnote w:id="9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Ini adalah struktur rekening sederhana. Struktur ini menetapkan satu rekening utama untuk periode konstruksi (Rekening Pencairan) dan satu rekening utama untuk periode operasional (Rekening Operasional). Jika sesuai, mungkin diperlukan atau diminta agar dibuat rekening-rekening 'bayangan' di dalam negeri dan di luar negeri (misalnya baik rekening operasional luar negeri maupun dalam negeri) untuk tujuan-tujuan mata uang dan/atau risiko, dan Perjanjian Rekening akan memuat klausul-klausul yang mensyaratkan atau mengizinkan dilakukan transfer dan konversi uang antara rekening dalam negeri dan luar negeri. Hal ini juga memungkinkan uang tunai untuk disimpan dalam mata uang Pinjaman-pinjaman, mengurangi risiko valuta asing dan repatriasi.  Mungkin juga lebih baik dibuat rekening-rekening terpisah untuk sumber-sumber atau keperluan-keperluan pendapatan lain yang ditentukan. Para Kreditur mungkin juga ingin memeriksa jumlah-jumlah yang harus dibayar (akrual) setiap bulan sehubungan dengan </w:t>
      </w:r>
      <w:r>
        <w:rPr>
          <w:rFonts w:ascii="Arial" w:hAnsi="Arial" w:cs="Arial"/>
          <w:i/>
          <w:iCs/>
          <w:sz w:val="16"/>
          <w:szCs w:val="16"/>
          <w:lang w:val="en-US"/>
        </w:rPr>
        <w:t>debt service</w:t>
      </w:r>
      <w:r>
        <w:rPr>
          <w:rFonts w:ascii="Arial" w:hAnsi="Arial" w:cs="Arial"/>
          <w:sz w:val="16"/>
          <w:szCs w:val="16"/>
        </w:rPr>
        <w:t xml:space="preserve"> atau biaya-biaya operasional, dalam hal mana rekening pembayaran </w:t>
      </w:r>
      <w:r>
        <w:rPr>
          <w:rFonts w:ascii="Arial" w:hAnsi="Arial" w:cs="Arial"/>
          <w:i/>
          <w:iCs/>
          <w:sz w:val="16"/>
          <w:szCs w:val="16"/>
        </w:rPr>
        <w:t>debt service</w:t>
      </w:r>
      <w:r>
        <w:rPr>
          <w:rFonts w:ascii="Arial" w:hAnsi="Arial" w:cs="Arial"/>
          <w:sz w:val="16"/>
          <w:szCs w:val="16"/>
        </w:rPr>
        <w:t>/jumlah akrual atau rekening biaya operasional akan diperlukan dalam setiap mata uang Pinjaman.</w:t>
      </w:r>
    </w:p>
  </w:footnote>
  <w:footnote w:id="95">
    <w:p>
      <w:pPr>
        <w:pStyle w:val="26"/>
        <w:tabs>
          <w:tab w:val="left" w:pos="426"/>
        </w:tabs>
        <w:spacing w:after="60"/>
        <w:ind w:left="426" w:hanging="426"/>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Lihat catatan kaki </w:t>
      </w:r>
      <w:r>
        <w:rPr>
          <w:rFonts w:ascii="Arial" w:hAnsi="Arial" w:cs="Arial"/>
          <w:sz w:val="16"/>
          <w:szCs w:val="16"/>
          <w:lang w:val="en-US"/>
        </w:rPr>
        <w:fldChar w:fldCharType="begin"/>
      </w:r>
      <w:r>
        <w:rPr>
          <w:rFonts w:ascii="Arial" w:hAnsi="Arial" w:cs="Arial"/>
          <w:sz w:val="16"/>
          <w:szCs w:val="16"/>
          <w:lang w:val="en-US"/>
        </w:rPr>
        <w:instrText xml:space="preserve"> NOTEREF _Ref31190114 \h  \* MERGEFORMAT </w:instrText>
      </w:r>
      <w:r>
        <w:rPr>
          <w:rFonts w:ascii="Arial" w:hAnsi="Arial" w:cs="Arial"/>
          <w:sz w:val="16"/>
          <w:szCs w:val="16"/>
          <w:lang w:val="en-US"/>
        </w:rPr>
        <w:fldChar w:fldCharType="separate"/>
      </w:r>
      <w:r>
        <w:rPr>
          <w:rFonts w:ascii="Arial" w:hAnsi="Arial" w:cs="Arial"/>
          <w:sz w:val="16"/>
          <w:szCs w:val="16"/>
          <w:lang w:val="en-US"/>
        </w:rPr>
        <w:t>95</w:t>
      </w:r>
      <w:r>
        <w:rPr>
          <w:rFonts w:ascii="Arial" w:hAnsi="Arial" w:cs="Arial"/>
          <w:sz w:val="16"/>
          <w:szCs w:val="16"/>
          <w:lang w:val="en-US"/>
        </w:rPr>
        <w:fldChar w:fldCharType="end"/>
      </w:r>
      <w:r>
        <w:rPr>
          <w:rFonts w:ascii="Arial" w:hAnsi="Arial" w:cs="Arial"/>
          <w:sz w:val="16"/>
          <w:szCs w:val="16"/>
          <w:lang w:val="en-US"/>
        </w:rPr>
        <w:t xml:space="preserve"> di atas.</w:t>
      </w:r>
    </w:p>
  </w:footnote>
  <w:footnote w:id="9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Ini adalah rekening 'periode konstruksi' utama. Agar transisi dari rekening periode konstruksi ke rekening periode operasional berjalan dengan baik, perlu dipahami mengenai waktu dan bentuk pendapatan periode konstruksi dan waktu pembayaran biaya-biaya selama periode konstruksi dan biaya-biaya selama periode operasional. Perhatikan bahwa rekening-rekening pencairan tidak selalu ditutup secara otomatis setelah penyelesaian konstruksi karena mungkin masih ada biaya-biaya selama periode konstruksi yang harus dibayar setelah penyelesaian tersebut.  </w:t>
      </w:r>
    </w:p>
  </w:footnote>
  <w:footnote w:id="9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Bentuk dan jumlah pendapatan-pendapatan proyek selama periode konstruksi berbeda-beda antara satu proyek dan proyek lainnya.  Jika ada proyeksi perolehan pendapatan yang signifikan selama konstruksi (dan terutama jika hal tersebut merupakan 'sumber' dalam rencana pembiayaan), maka mungkin sebaiknya agar dibuka suatu rekening terpisah agar agar jumlah-jumlah yang masuk dapat diketahui (dan untuk memudahkan percepatan-percepatan pelunasan terkait yang mungkin diperlukan).</w:t>
      </w:r>
    </w:p>
  </w:footnote>
  <w:footnote w:id="98">
    <w:p>
      <w:pPr>
        <w:pStyle w:val="26"/>
        <w:tabs>
          <w:tab w:val="left" w:pos="426"/>
        </w:tabs>
        <w:spacing w:after="60"/>
        <w:ind w:left="426" w:hanging="426"/>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Para </w:t>
      </w:r>
      <w:r>
        <w:rPr>
          <w:rFonts w:ascii="Arial" w:hAnsi="Arial" w:cs="Arial"/>
          <w:sz w:val="16"/>
          <w:szCs w:val="16"/>
        </w:rPr>
        <w:t>Pihak akan mempertimbangkan apakah rekening pendapatan dan rekening operasional terpisah diperlukan</w:t>
      </w:r>
      <w:r>
        <w:rPr>
          <w:rFonts w:ascii="Arial" w:hAnsi="Arial" w:cs="Arial"/>
          <w:sz w:val="16"/>
          <w:szCs w:val="16"/>
          <w:lang w:val="en-US"/>
        </w:rPr>
        <w:t>.</w:t>
      </w:r>
    </w:p>
  </w:footnote>
  <w:footnote w:id="9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Selain pendapatan-pendapatan yang diterima secara langsung dari kegiatan operasional Proyek, hal ini harus mencakup setiap hasil klaim asuransi dari asuransi risiko kehilangan pendapatan (misalnya asuransi risiko gangguan bisnis).</w:t>
      </w:r>
    </w:p>
  </w:footnote>
  <w:footnote w:id="10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Hasil-hasil klaim asuransi risiko kehilangan pendapatan dibayarkan ke Rekening Pencairan/Rekening Operasional karena jumlah-jumlah tersebut merupakan pendapatan yang seharusnya diterima oleh Perusahaan Proyek kecuali untuk terjadinya peristiwa yang ditanggung (yaitu asuransi ini hanya dibuat untuk 'menjaga tertanggung tetap dalam kondisi layak'). Hasil-hasil klaim asuransi pihak ketiga pada umumnya dibayarkan oleh perusahaan asuransi secara langsung kepada pihak ketiga. Dalam hal Perusahaan Proyek membayar pihak ketiga dan perusahaan asuransi kemudian memberi kompensasi kepada Perusahaan Proyek, hasil-hasil klaim tersebut akan dialihkan ke Rekening Pencairan/Rekening Operasional (karena, sekali lagi, jumlah ini hanya 'menjaga tertanggung tetap dalam kondisi layak').</w:t>
      </w:r>
    </w:p>
  </w:footnote>
  <w:footnote w:id="10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Tujuan dari </w:t>
      </w:r>
      <w:r>
        <w:rPr>
          <w:rFonts w:ascii="Arial" w:hAnsi="Arial" w:cs="Arial"/>
          <w:i/>
          <w:sz w:val="16"/>
          <w:szCs w:val="16"/>
        </w:rPr>
        <w:t>Maintenance Reserve Account</w:t>
      </w:r>
      <w:r>
        <w:rPr>
          <w:rFonts w:ascii="Arial" w:hAnsi="Arial" w:cs="Arial"/>
          <w:sz w:val="16"/>
          <w:szCs w:val="16"/>
        </w:rPr>
        <w:t xml:space="preserve"> adalah untuk mengesampingkan jumlah-jumlah yang akan diperlukan untuk pemeliharaan utama terjadwal atas Pabrik. Apakah rekening tersebut diperlukan atau tidak, dan jika diperlukan mekanisme apa yang harus digunakan untuk menentukan saldo yang diperlukan, akan sangat bergantung pada jenis proyek dan apakah biaya-biaya pemeliharaan tersebut tersebar secara merata/tidak merata di seluruh tahapan proyek.</w:t>
      </w:r>
    </w:p>
  </w:footnote>
  <w:footnote w:id="10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Hal ini akan bergantung pada biaya-biaya pemeliharaan yang diminta untuk Proyek.  Masukan dari Penasihat Teknis juga akan diperlukan untuk hal ini.</w:t>
      </w:r>
    </w:p>
  </w:footnote>
  <w:footnote w:id="10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Dalam struktur rekening ini, jumlah-jumlah akan dibayarkan ke Rekening Distribusi dari </w:t>
      </w:r>
      <w:r>
        <w:rPr>
          <w:rFonts w:ascii="Arial" w:hAnsi="Arial" w:cs="Arial"/>
          <w:i/>
          <w:sz w:val="16"/>
          <w:szCs w:val="16"/>
        </w:rPr>
        <w:t>cash flow waterfall</w:t>
      </w:r>
      <w:r>
        <w:rPr>
          <w:rFonts w:ascii="Arial" w:hAnsi="Arial" w:cs="Arial"/>
          <w:sz w:val="16"/>
          <w:szCs w:val="16"/>
        </w:rPr>
        <w:t xml:space="preserve"> jika Pengujian-pengujian Distribusi terpenuhi. Setelah berada dalam Rekening Distribusi, Perusahaan Proyek dapat memberikan dividen, pembagian, atau pembayaran kembali pinjaman-pinjaman pemegang saham tanpa batasan. Jika Pengujian-pengujian Distribusi tidak terpenuhi, maka uang akan tetap berada di Rekening Operasional dan tersedia untuk digunakan sesuai dengan </w:t>
      </w:r>
      <w:r>
        <w:rPr>
          <w:rFonts w:ascii="Arial" w:hAnsi="Arial" w:cs="Arial"/>
          <w:i/>
          <w:sz w:val="16"/>
          <w:szCs w:val="16"/>
        </w:rPr>
        <w:t>cash flow waterfall</w:t>
      </w:r>
      <w:r>
        <w:rPr>
          <w:rFonts w:ascii="Arial" w:hAnsi="Arial" w:cs="Arial"/>
          <w:sz w:val="16"/>
          <w:szCs w:val="16"/>
        </w:rPr>
        <w:t xml:space="preserve"> hingga tanggal pembayaran kembali (atau tanggal perhitungan) berikutnya.</w:t>
      </w:r>
    </w:p>
  </w:footnote>
  <w:footnote w:id="10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i/>
          <w:sz w:val="16"/>
          <w:szCs w:val="16"/>
        </w:rPr>
        <w:t>Waterfall</w:t>
      </w:r>
      <w:r>
        <w:rPr>
          <w:rFonts w:ascii="Arial" w:hAnsi="Arial" w:cs="Arial"/>
          <w:sz w:val="16"/>
          <w:szCs w:val="16"/>
        </w:rPr>
        <w:t xml:space="preserve"> ini dimaksudkan oleh Para Kreditur untuk mengendalikan bagaimana arus kas digunakan dan oleh karenanya mengatur urutan prioritas pembayaran. Contoh ini mengatur </w:t>
      </w:r>
      <w:r>
        <w:rPr>
          <w:rFonts w:ascii="Arial" w:hAnsi="Arial" w:cs="Arial"/>
          <w:i/>
          <w:sz w:val="16"/>
          <w:szCs w:val="16"/>
        </w:rPr>
        <w:t>waterfall</w:t>
      </w:r>
      <w:r>
        <w:rPr>
          <w:rFonts w:ascii="Arial" w:hAnsi="Arial" w:cs="Arial"/>
          <w:sz w:val="16"/>
          <w:szCs w:val="16"/>
        </w:rPr>
        <w:t xml:space="preserve"> dasar, namun hal ini perlu disesuaikan dengan hal-hal yang terjadi di lapangan dalam pengoperasian setiap proyek, khususnya struktur pendapatan dan metode pembayaran biaya-biaya operasi.</w:t>
      </w:r>
    </w:p>
  </w:footnote>
  <w:footnote w:id="10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Perusahaan Proyek akan diizinkan untuk membayar biaya-biaya operasional sepanjang hal-hal ini sesuai dengan anggaran-anggaran operasional terkait (tunduk pada perbedaan-prebedaan yang diperbolehkan). Para Pihak Pembiayaan biasanya akan meminta adanya hak untuk memberi persetujuan jika biaya-biaya tersebut melebihi anggaran. "Biaya-biaya Operasional", yang pada umumnya terdiri dari:</w:t>
      </w:r>
    </w:p>
    <w:p>
      <w:pPr>
        <w:pStyle w:val="49"/>
        <w:numPr>
          <w:ilvl w:val="0"/>
          <w:numId w:val="12"/>
        </w:numPr>
        <w:tabs>
          <w:tab w:val="left" w:pos="426"/>
        </w:tabs>
        <w:spacing w:after="60"/>
        <w:ind w:left="851" w:hanging="401"/>
        <w:rPr>
          <w:rFonts w:ascii="Arial" w:hAnsi="Arial" w:cs="Arial"/>
          <w:sz w:val="16"/>
          <w:szCs w:val="16"/>
        </w:rPr>
      </w:pPr>
      <w:r>
        <w:rPr>
          <w:rFonts w:ascii="Arial" w:hAnsi="Arial" w:cs="Arial"/>
          <w:sz w:val="16"/>
          <w:szCs w:val="16"/>
        </w:rPr>
        <w:t>biaya-biaya yang timbul berdasarkan Dokumen-dokumen Proyek terkait (misalnya Perjanjian O&amp;P);</w:t>
      </w:r>
    </w:p>
    <w:p>
      <w:pPr>
        <w:pStyle w:val="49"/>
        <w:numPr>
          <w:ilvl w:val="0"/>
          <w:numId w:val="12"/>
        </w:numPr>
        <w:tabs>
          <w:tab w:val="left" w:pos="426"/>
        </w:tabs>
        <w:spacing w:after="60"/>
        <w:ind w:left="851" w:hanging="401"/>
        <w:rPr>
          <w:rFonts w:ascii="Arial" w:hAnsi="Arial" w:cs="Arial"/>
          <w:sz w:val="16"/>
          <w:szCs w:val="16"/>
        </w:rPr>
      </w:pPr>
      <w:r>
        <w:rPr>
          <w:rFonts w:ascii="Arial" w:hAnsi="Arial" w:cs="Arial"/>
          <w:sz w:val="16"/>
          <w:szCs w:val="16"/>
        </w:rPr>
        <w:t>belanja modal yang diperlukan;</w:t>
      </w:r>
    </w:p>
    <w:p>
      <w:pPr>
        <w:pStyle w:val="49"/>
        <w:numPr>
          <w:ilvl w:val="0"/>
          <w:numId w:val="12"/>
        </w:numPr>
        <w:tabs>
          <w:tab w:val="left" w:pos="426"/>
        </w:tabs>
        <w:spacing w:after="60"/>
        <w:ind w:left="851" w:hanging="401"/>
        <w:rPr>
          <w:rFonts w:ascii="Arial" w:hAnsi="Arial" w:cs="Arial"/>
          <w:sz w:val="16"/>
          <w:szCs w:val="16"/>
        </w:rPr>
      </w:pPr>
      <w:r>
        <w:rPr>
          <w:rFonts w:ascii="Arial" w:hAnsi="Arial" w:cs="Arial"/>
          <w:sz w:val="16"/>
          <w:szCs w:val="16"/>
        </w:rPr>
        <w:t>biaya-biaya asuransi;</w:t>
      </w:r>
    </w:p>
    <w:p>
      <w:pPr>
        <w:pStyle w:val="49"/>
        <w:numPr>
          <w:ilvl w:val="0"/>
          <w:numId w:val="12"/>
        </w:numPr>
        <w:tabs>
          <w:tab w:val="left" w:pos="426"/>
        </w:tabs>
        <w:spacing w:after="60"/>
        <w:ind w:left="851" w:hanging="401"/>
        <w:rPr>
          <w:rFonts w:ascii="Arial" w:hAnsi="Arial" w:cs="Arial"/>
          <w:sz w:val="16"/>
          <w:szCs w:val="16"/>
        </w:rPr>
      </w:pPr>
      <w:r>
        <w:rPr>
          <w:rFonts w:ascii="Arial" w:hAnsi="Arial" w:cs="Arial"/>
          <w:sz w:val="16"/>
          <w:szCs w:val="16"/>
        </w:rPr>
        <w:t>biaya-biaya pemeliharaan rutin;</w:t>
      </w:r>
    </w:p>
    <w:p>
      <w:pPr>
        <w:pStyle w:val="49"/>
        <w:numPr>
          <w:ilvl w:val="0"/>
          <w:numId w:val="12"/>
        </w:numPr>
        <w:tabs>
          <w:tab w:val="left" w:pos="426"/>
        </w:tabs>
        <w:spacing w:after="60"/>
        <w:ind w:left="851" w:hanging="401"/>
        <w:rPr>
          <w:rFonts w:ascii="Arial" w:hAnsi="Arial" w:cs="Arial"/>
          <w:sz w:val="16"/>
          <w:szCs w:val="16"/>
        </w:rPr>
      </w:pPr>
      <w:r>
        <w:rPr>
          <w:rFonts w:ascii="Arial" w:hAnsi="Arial" w:cs="Arial"/>
          <w:sz w:val="16"/>
          <w:szCs w:val="16"/>
        </w:rPr>
        <w:t>biaya administrasi;</w:t>
      </w:r>
    </w:p>
    <w:p>
      <w:pPr>
        <w:pStyle w:val="49"/>
        <w:numPr>
          <w:ilvl w:val="0"/>
          <w:numId w:val="12"/>
        </w:numPr>
        <w:tabs>
          <w:tab w:val="left" w:pos="426"/>
        </w:tabs>
        <w:spacing w:after="60"/>
        <w:ind w:left="851" w:hanging="401"/>
        <w:rPr>
          <w:rFonts w:ascii="Arial" w:hAnsi="Arial" w:cs="Arial"/>
          <w:sz w:val="16"/>
          <w:szCs w:val="16"/>
        </w:rPr>
      </w:pPr>
      <w:r>
        <w:rPr>
          <w:rFonts w:ascii="Arial" w:hAnsi="Arial" w:cs="Arial"/>
          <w:sz w:val="16"/>
          <w:szCs w:val="16"/>
        </w:rPr>
        <w:t>biaya-biaya perpanjangan izin; dan</w:t>
      </w:r>
    </w:p>
    <w:p>
      <w:pPr>
        <w:pStyle w:val="49"/>
        <w:numPr>
          <w:ilvl w:val="0"/>
          <w:numId w:val="12"/>
        </w:numPr>
        <w:tabs>
          <w:tab w:val="left" w:pos="426"/>
        </w:tabs>
        <w:spacing w:after="60"/>
        <w:ind w:left="851" w:hanging="401"/>
        <w:rPr>
          <w:rFonts w:ascii="Arial" w:hAnsi="Arial" w:cs="Arial"/>
          <w:sz w:val="16"/>
          <w:szCs w:val="16"/>
        </w:rPr>
      </w:pPr>
      <w:r>
        <w:rPr>
          <w:rFonts w:ascii="Arial" w:hAnsi="Arial" w:cs="Arial"/>
          <w:sz w:val="16"/>
          <w:szCs w:val="16"/>
        </w:rPr>
        <w:t xml:space="preserve">pajak. </w:t>
      </w:r>
    </w:p>
  </w:footnote>
  <w:footnote w:id="10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eastAsia="Times New Roman" w:cs="Arial"/>
          <w:sz w:val="16"/>
          <w:szCs w:val="16"/>
          <w:lang w:val="en-AU"/>
        </w:rPr>
        <w:t xml:space="preserve">Percepatan pelunasan wajib lainnya (selain </w:t>
      </w:r>
      <w:r>
        <w:rPr>
          <w:rFonts w:ascii="Arial" w:hAnsi="Arial" w:eastAsia="Times New Roman" w:cs="Arial"/>
          <w:i/>
          <w:sz w:val="16"/>
          <w:szCs w:val="16"/>
          <w:lang w:val="en-AU"/>
        </w:rPr>
        <w:t>cash sweep</w:t>
      </w:r>
      <w:r>
        <w:rPr>
          <w:rFonts w:ascii="Arial" w:hAnsi="Arial" w:eastAsia="Times New Roman" w:cs="Arial"/>
          <w:sz w:val="16"/>
          <w:szCs w:val="16"/>
          <w:lang w:val="en-AU"/>
        </w:rPr>
        <w:t xml:space="preserve">, yang pada umumnya berperingkat lebih rendah, tepat sebelum dilakukan distribusi) dapat disertakan pada jenjang [peringkat] </w:t>
      </w:r>
      <w:r>
        <w:rPr>
          <w:rFonts w:ascii="Arial" w:hAnsi="Arial" w:eastAsia="Times New Roman" w:cs="Arial"/>
          <w:i/>
          <w:sz w:val="16"/>
          <w:szCs w:val="16"/>
          <w:lang w:val="en-AU"/>
        </w:rPr>
        <w:t>cash flow waterfall</w:t>
      </w:r>
      <w:r>
        <w:rPr>
          <w:rFonts w:ascii="Arial" w:hAnsi="Arial" w:eastAsia="Times New Roman" w:cs="Arial"/>
          <w:sz w:val="16"/>
          <w:szCs w:val="16"/>
          <w:lang w:val="en-AU"/>
        </w:rPr>
        <w:t xml:space="preserve"> ini</w:t>
      </w:r>
      <w:r>
        <w:rPr>
          <w:rFonts w:ascii="Arial" w:hAnsi="Arial" w:cs="Arial"/>
          <w:sz w:val="16"/>
          <w:szCs w:val="16"/>
        </w:rPr>
        <w:t>.</w:t>
      </w:r>
    </w:p>
  </w:footnote>
  <w:footnote w:id="10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i/>
          <w:sz w:val="16"/>
          <w:szCs w:val="16"/>
        </w:rPr>
        <w:t>Cash sweep</w:t>
      </w:r>
      <w:r>
        <w:rPr>
          <w:rFonts w:ascii="Arial" w:hAnsi="Arial" w:cs="Arial"/>
          <w:sz w:val="16"/>
          <w:szCs w:val="16"/>
        </w:rPr>
        <w:t xml:space="preserve"> juga berpotensi berperingkat di atas percepatan pelunasan wajib non-pro rata, tergantung pada peristiwa atau keadaan yang menimbulkan </w:t>
      </w:r>
      <w:r>
        <w:rPr>
          <w:rFonts w:ascii="Arial" w:hAnsi="Arial" w:cs="Arial"/>
          <w:i/>
          <w:sz w:val="16"/>
          <w:szCs w:val="16"/>
        </w:rPr>
        <w:t>cash sweep</w:t>
      </w:r>
      <w:r>
        <w:rPr>
          <w:rFonts w:ascii="Arial" w:hAnsi="Arial" w:cs="Arial"/>
          <w:sz w:val="16"/>
          <w:szCs w:val="16"/>
        </w:rPr>
        <w:t xml:space="preserve"> tersebut. </w:t>
      </w:r>
    </w:p>
  </w:footnote>
  <w:footnote w:id="10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bookmarkStart w:id="323" w:name="_Hlk57762861"/>
      <w:r>
        <w:rPr>
          <w:rFonts w:ascii="Arial" w:hAnsi="Arial" w:cs="Arial"/>
          <w:sz w:val="16"/>
          <w:szCs w:val="16"/>
        </w:rPr>
        <w:t xml:space="preserve">Sertakan jika kewajiban-kewajiban pendanaan DSRA/MRA dapat dipenuhi melalui penyediaan </w:t>
      </w:r>
      <w:r>
        <w:rPr>
          <w:rFonts w:ascii="Arial" w:hAnsi="Arial" w:cs="Arial"/>
          <w:i/>
          <w:sz w:val="16"/>
          <w:szCs w:val="16"/>
        </w:rPr>
        <w:t>letter of credit</w:t>
      </w:r>
      <w:r>
        <w:rPr>
          <w:rFonts w:ascii="Arial" w:hAnsi="Arial" w:cs="Arial"/>
          <w:sz w:val="16"/>
          <w:szCs w:val="16"/>
        </w:rPr>
        <w:t xml:space="preserve"> alih-alih memegang saldo kas. Para debitur/Sponsor yang kuat juga dapat meminta opsi pendanaan DSRA melalui penanggungan Sponsor, dalam hal ini peringkat kredit minimal sehubungan dengan Sponsor mungkin diperlukan agar jaminan Sponsor tersebut dapat diterima oleh para kreditur. Jika hal tersebut dapat diterima, perbaiki ayat ini agar tercermin sebagaimana mestinya. </w:t>
      </w:r>
      <w:bookmarkEnd w:id="323"/>
    </w:p>
  </w:footnote>
  <w:footnote w:id="10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Para Kreditur juga dapat, tergantung dengan sifat proyek, meminta suatu pengujian proyeksi DSCR jika ada potensi volatilitas dalam pendapatan di masa mendatang.  </w:t>
      </w:r>
    </w:p>
  </w:footnote>
  <w:footnote w:id="11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Tes LLCR ini bermanfaat/terkait jika ada beberapa siklus atau volatilitas tertentu dari segi biaya atau pendapatan proyek dan para pemodal ingin menguji hal ini untuk memberi kemudahan selain tingkat DSCR minimal.</w:t>
      </w:r>
    </w:p>
  </w:footnote>
  <w:footnote w:id="11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Penyerahan </w:t>
      </w:r>
      <w:r>
        <w:rPr>
          <w:rFonts w:ascii="Arial" w:hAnsi="Arial" w:cs="Arial"/>
          <w:i/>
          <w:sz w:val="16"/>
          <w:szCs w:val="16"/>
        </w:rPr>
        <w:t>Financial Model</w:t>
      </w:r>
      <w:r>
        <w:rPr>
          <w:rFonts w:ascii="Arial" w:hAnsi="Arial" w:cs="Arial"/>
          <w:sz w:val="16"/>
          <w:szCs w:val="16"/>
        </w:rPr>
        <w:t xml:space="preserve"> dan Kasus Dasar yang telah disetujui dan diaudit akan menjadi prasyarat pendahuluan atas pemenuhan pembiayaan, namun dalam praktiknya Para Kreditur akan meminta hal-hal tersebut untuk disetujui sebelum menandatangani Dokumen-dokumen Pembiayaan.</w:t>
      </w:r>
    </w:p>
  </w:footnote>
  <w:footnote w:id="11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Perlakuan terhadap Kasus Dasar dan cara dengan mana asumsi-asumsi dapat diperbarui akan tergantung pada sektor Proyek. Para pihak akan melakukan perubahan sebagaimana konteksnya untuk setiap transaksi. </w:t>
      </w:r>
    </w:p>
  </w:footnote>
  <w:footnote w:id="11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Protokol untuk memperbarui asumsi-asumsi dalam Kasus Dasar perlu dipertimbangkan sehubungan dengan setiap proyek. Yang diperlukan hanya memperbarui asumsi-asumsi dimana proyeksi-proyeksi rasio digunakan. Keadaan-keadaan dimana asumsi-asumsi diperbarui akan bergantung pada masukan-masukan terhadap Kasus Dasar (misalnya biaya yang diperkirakan, pendapatan-pendapatan) dan apakah hal-hal tersebut merupakan variabel (misalnya berdasarkan harga-harga pasar, yang diindekskan terhadap inflasi).</w:t>
      </w:r>
    </w:p>
  </w:footnote>
  <w:footnote w:id="11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Laporan</w:t>
      </w:r>
      <w:r>
        <w:rPr>
          <w:rFonts w:ascii="Arial" w:hAnsi="Arial" w:cs="Arial"/>
          <w:sz w:val="16"/>
          <w:szCs w:val="16"/>
          <w:lang w:val="en-US"/>
        </w:rPr>
        <w:t xml:space="preserve"> </w:t>
      </w:r>
      <w:r>
        <w:rPr>
          <w:rFonts w:ascii="Arial" w:hAnsi="Arial" w:cs="Arial"/>
          <w:sz w:val="16"/>
          <w:szCs w:val="16"/>
        </w:rPr>
        <w:t xml:space="preserve">Keuangan adalah ringkasan (atau hasil) dari </w:t>
      </w:r>
      <w:r>
        <w:rPr>
          <w:rFonts w:ascii="Arial" w:hAnsi="Arial" w:cs="Arial"/>
          <w:i/>
          <w:sz w:val="16"/>
          <w:szCs w:val="16"/>
        </w:rPr>
        <w:t>Financial Model</w:t>
      </w:r>
      <w:r>
        <w:rPr>
          <w:rFonts w:ascii="Arial" w:hAnsi="Arial" w:cs="Arial"/>
          <w:sz w:val="16"/>
          <w:szCs w:val="16"/>
        </w:rPr>
        <w:t xml:space="preserve"> yang menunjukkan rasio-rasio keuangan selama periode terkait dan informasi yang mendukung perhitungan-perhitungan rasio. </w:t>
      </w:r>
    </w:p>
  </w:footnote>
  <w:footnote w:id="11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Hal ini akan sering bertepatan dengan tanggal pembayaran. Biasanya, rasio-rasio diuji: (1) pada saat penandatanganan atau pemenuhan pembiayaan (yaitu prasyarat perjanjian); (2) pada Tanggal Penyelesaian Proyek atau Tanggal Penyelesaian Finansial; dan (3) pada tanggal-tanggal pembayaran kembali. </w:t>
      </w:r>
    </w:p>
  </w:footnote>
  <w:footnote w:id="11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Misalnya, jika disyaratkan untuk menentukan apakah akan menggunakan hasil-hasil klaim asuransi kehilangan secara fisik dalam percepatan pelunasan wajib atau dalam pemulihan dan perbaikan.</w:t>
      </w:r>
    </w:p>
  </w:footnote>
  <w:footnote w:id="117">
    <w:p>
      <w:pPr>
        <w:pStyle w:val="26"/>
        <w:tabs>
          <w:tab w:val="left" w:pos="426"/>
        </w:tabs>
        <w:spacing w:after="60"/>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Penggunaan-penggunaan rasio yang paling umum adalah sebagai berikut:</w:t>
      </w:r>
    </w:p>
    <w:p>
      <w:pPr>
        <w:pStyle w:val="49"/>
        <w:numPr>
          <w:ilvl w:val="0"/>
          <w:numId w:val="13"/>
        </w:numPr>
        <w:tabs>
          <w:tab w:val="left" w:pos="426"/>
        </w:tabs>
        <w:spacing w:after="60"/>
        <w:ind w:left="851" w:hanging="221"/>
        <w:rPr>
          <w:rFonts w:ascii="Arial" w:hAnsi="Arial" w:cs="Arial"/>
          <w:sz w:val="16"/>
          <w:szCs w:val="16"/>
        </w:rPr>
      </w:pPr>
      <w:r>
        <w:rPr>
          <w:rFonts w:ascii="Arial" w:hAnsi="Arial" w:cs="Arial"/>
          <w:sz w:val="16"/>
          <w:szCs w:val="16"/>
        </w:rPr>
        <w:t>tes penyelesaian finansial/proyek (akankah proyek yang dibangun menghasilkan arus kas yang dapat memenuhi perkiraan awal?);</w:t>
      </w:r>
    </w:p>
    <w:p>
      <w:pPr>
        <w:pStyle w:val="49"/>
        <w:numPr>
          <w:ilvl w:val="0"/>
          <w:numId w:val="13"/>
        </w:numPr>
        <w:tabs>
          <w:tab w:val="left" w:pos="426"/>
        </w:tabs>
        <w:spacing w:after="60"/>
        <w:ind w:left="851" w:hanging="221"/>
        <w:rPr>
          <w:rFonts w:ascii="Arial" w:hAnsi="Arial" w:cs="Arial"/>
          <w:sz w:val="16"/>
          <w:szCs w:val="16"/>
        </w:rPr>
      </w:pPr>
      <w:r>
        <w:rPr>
          <w:rFonts w:ascii="Arial" w:hAnsi="Arial" w:cs="Arial"/>
          <w:sz w:val="16"/>
          <w:szCs w:val="16"/>
        </w:rPr>
        <w:t>pengujian distribusi (jika tidak terpenuhi, uang tunai dapat disimpan atau digunakan untuk melakukan percepatan pelunasan utang);</w:t>
      </w:r>
    </w:p>
    <w:p>
      <w:pPr>
        <w:pStyle w:val="49"/>
        <w:numPr>
          <w:ilvl w:val="0"/>
          <w:numId w:val="13"/>
        </w:numPr>
        <w:tabs>
          <w:tab w:val="left" w:pos="426"/>
        </w:tabs>
        <w:spacing w:after="60"/>
        <w:ind w:left="851" w:hanging="221"/>
        <w:rPr>
          <w:rFonts w:ascii="Arial" w:hAnsi="Arial" w:cs="Arial"/>
          <w:sz w:val="16"/>
          <w:szCs w:val="16"/>
        </w:rPr>
      </w:pPr>
      <w:r>
        <w:rPr>
          <w:rFonts w:ascii="Arial" w:hAnsi="Arial" w:cs="Arial"/>
          <w:sz w:val="16"/>
          <w:szCs w:val="16"/>
        </w:rPr>
        <w:t>Peristiwa Cedera Janji.</w:t>
      </w:r>
    </w:p>
    <w:p>
      <w:pPr>
        <w:pStyle w:val="49"/>
        <w:tabs>
          <w:tab w:val="left" w:pos="426"/>
        </w:tabs>
        <w:spacing w:after="60"/>
        <w:ind w:left="425"/>
        <w:rPr>
          <w:rFonts w:ascii="Arial" w:hAnsi="Arial" w:cs="Arial"/>
          <w:sz w:val="16"/>
          <w:szCs w:val="16"/>
        </w:rPr>
      </w:pPr>
      <w:r>
        <w:rPr>
          <w:rFonts w:ascii="Arial" w:hAnsi="Arial" w:cs="Arial"/>
          <w:sz w:val="16"/>
          <w:szCs w:val="16"/>
        </w:rPr>
        <w:t xml:space="preserve">Contoh-contoh lain dimana rasio-rasio dapat digunakan adalah: (i) memiliki utang tambahan (mungkin ada larangan untuk memiliki utang tambahan kecuali, dengan mempertimbangkan beban </w:t>
      </w:r>
      <w:r>
        <w:rPr>
          <w:rFonts w:ascii="Arial" w:hAnsi="Arial" w:cs="Arial"/>
          <w:i/>
          <w:iCs/>
          <w:sz w:val="16"/>
          <w:szCs w:val="16"/>
        </w:rPr>
        <w:t>debt service</w:t>
      </w:r>
      <w:r>
        <w:rPr>
          <w:rFonts w:ascii="Arial" w:hAnsi="Arial" w:cs="Arial"/>
          <w:sz w:val="16"/>
          <w:szCs w:val="16"/>
        </w:rPr>
        <w:t xml:space="preserve"> tambahan, rasio-rasio tertentu dapat dipenuhi) dan juga pada saat pembayaran kembali (baik untuk menentukan jumlah pembayaran kembali ataupun mendorong </w:t>
      </w:r>
      <w:r>
        <w:rPr>
          <w:rFonts w:ascii="Arial" w:hAnsi="Arial" w:cs="Arial"/>
          <w:i/>
          <w:sz w:val="16"/>
          <w:szCs w:val="16"/>
        </w:rPr>
        <w:t>cash sweep</w:t>
      </w:r>
      <w:r>
        <w:rPr>
          <w:rFonts w:ascii="Arial" w:hAnsi="Arial" w:cs="Arial"/>
          <w:sz w:val="16"/>
          <w:szCs w:val="16"/>
        </w:rPr>
        <w:t>); (ii) pembiayaan kembali sebagian (jika pembiayaan kembali tersebut benar-benar diperbolehkan, hal itu dapat bergantung pada dipenuhinya pengujian-pengujian rasio tertentu); (iii) pemulihan setelah klaim asuransi (Para Kreditur mungkin memerlukan pengujian-pengujian rasio setelah klaim asuransi untuk menunjukkan bahwa hasil-hasil klaim asuransi harus digunakan dalam pemulihan, alih-alih percepatan pelunasan); dan (iv) sehubungan dengan percepatan-percepatan pelunasan wajib.</w:t>
      </w:r>
    </w:p>
  </w:footnote>
  <w:footnote w:id="11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Apakah transaksi juga mencakup proyeksi DSCR (perkiraan ke depan) selain pengujian DSCR terdahulu yang dibuat kembali akan mengacu secara khusus pada kesepakatan dan pasar.</w:t>
      </w:r>
    </w:p>
  </w:footnote>
  <w:footnote w:id="119">
    <w:p>
      <w:pPr>
        <w:pStyle w:val="26"/>
        <w:tabs>
          <w:tab w:val="left" w:pos="426"/>
        </w:tabs>
        <w:spacing w:after="60"/>
        <w:ind w:left="426" w:hanging="426"/>
        <w:rPr>
          <w:rFonts w:ascii="Arial" w:hAnsi="Arial" w:cs="Arial"/>
          <w:sz w:val="16"/>
          <w:szCs w:val="16"/>
          <w:lang w:val="en-US"/>
        </w:rPr>
      </w:pPr>
      <w:r>
        <w:rPr>
          <w:rStyle w:val="25"/>
          <w:rFonts w:ascii="Arial" w:hAnsi="Arial" w:cs="Arial"/>
        </w:rPr>
        <w:footnoteRef/>
      </w:r>
      <w:r>
        <w:rPr>
          <w:rFonts w:ascii="Arial" w:hAnsi="Arial" w:cs="Arial"/>
        </w:rPr>
        <w:tab/>
      </w:r>
      <w:r>
        <w:rPr>
          <w:rFonts w:ascii="Arial" w:hAnsi="Arial" w:cs="Arial"/>
          <w:sz w:val="16"/>
          <w:szCs w:val="16"/>
          <w:lang w:val="en-US"/>
        </w:rPr>
        <w:t>Para pihak untuk mempertimbangkan apakah fasilitas bergulir harus dimasukkan atau dikecualikan dari Proyeksi DSCR</w:t>
      </w:r>
    </w:p>
  </w:footnote>
  <w:footnote w:id="12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Akan disertakan jika pengujian Proyeksi DSCR juga disyaratkan.</w:t>
      </w:r>
    </w:p>
  </w:footnote>
  <w:footnote w:id="12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Tingkat diskonto yang akan digunakan dalam perhitungan ini perlu disepakati di antara para pihak. Umumnya, jumlah ini setara dengan tingkat suku bunga yang diberi lindung nilai berdasarkan Fasilitas-fasilitas.</w:t>
      </w:r>
    </w:p>
  </w:footnote>
  <w:footnote w:id="12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bookmarkStart w:id="324" w:name="_Hlk42184844"/>
      <w:r>
        <w:rPr>
          <w:rFonts w:ascii="Arial" w:hAnsi="Arial" w:cs="Arial"/>
          <w:sz w:val="16"/>
          <w:szCs w:val="16"/>
        </w:rPr>
        <w:t>Akan disertakan jika pengujian LLCR diperlukan (biasanya untuk keperluan perkiraan jumlah utang dan sebagai persyaratan Tanggal Penyelesaian Finansial).</w:t>
      </w:r>
      <w:bookmarkEnd w:id="324"/>
    </w:p>
  </w:footnote>
  <w:footnote w:id="12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Hal ini akan dibicarakan apakah jumlah-jumlah Perbaikan Ekuitas dianggap sebagai (a) pendapatan tambahan atau (b) pengurangan utang – hal-hal tersebut akan memiliki dampak matematis yang berbeda pada rasio(-rasio). Penggunaan Perbaikan Ekuitas terhadap pengurangan utang jauh lebih sedikit. Jika Perbaikan Ekuitas digunakan untuk mengurangi utang, maka percepatan pelunasan wajib tambahan dapat dimasukkan ke daftar ketentuan yang mengatur tentang penggunaan Perbaikan Ekuitas untuk melakukan percepatan pelunasan terhadap Pinjaman-pinjaman (biasanya secara pro rata). Para sponsor yang lebih kuat dapat menegosiasikan jumlah Perbaikan Ekuitas sesuai dengan jaminan untuk kepentingan bank-bank namun tidak benar-benar digunakan untuk percepatan pelunasan, dengan opsi untuk melepaskan Perbaikan Ekuitas setelah rasio terkait diperbaiki pada kuartal(-kuartal) berikutnya.</w:t>
      </w:r>
    </w:p>
  </w:footnote>
  <w:footnote w:id="124">
    <w:p>
      <w:pPr>
        <w:pStyle w:val="26"/>
        <w:tabs>
          <w:tab w:val="left" w:pos="426"/>
        </w:tabs>
        <w:spacing w:after="60"/>
        <w:ind w:left="426" w:hanging="426"/>
        <w:rPr>
          <w:lang w:val="en-US"/>
        </w:rPr>
      </w:pPr>
      <w:r>
        <w:rPr>
          <w:rStyle w:val="25"/>
          <w:rFonts w:ascii="Arial" w:hAnsi="Arial" w:cs="Arial"/>
          <w:sz w:val="16"/>
          <w:szCs w:val="16"/>
        </w:rPr>
        <w:footnoteRef/>
      </w:r>
      <w:r>
        <w:t xml:space="preserve"> </w:t>
      </w:r>
      <w:r>
        <w:rPr>
          <w:rFonts w:ascii="Arial" w:hAnsi="Arial" w:cs="Arial"/>
          <w:sz w:val="16"/>
          <w:szCs w:val="16"/>
        </w:rPr>
        <w:tab/>
      </w:r>
      <w:r>
        <w:rPr>
          <w:rFonts w:ascii="Arial" w:hAnsi="Arial" w:cs="Arial"/>
          <w:sz w:val="16"/>
          <w:szCs w:val="16"/>
        </w:rPr>
        <w:t>Daftar pernyataan yang akan diulang dinegosiasikan berdasarkan proyek per proyek. Ini mungkin tidak terjadi pada tahap daftar ketentuan (</w:t>
      </w:r>
      <w:r>
        <w:rPr>
          <w:rFonts w:ascii="Arial" w:hAnsi="Arial" w:cs="Arial"/>
          <w:i/>
          <w:iCs/>
          <w:sz w:val="16"/>
          <w:szCs w:val="16"/>
        </w:rPr>
        <w:t>term sheet</w:t>
      </w:r>
      <w:r>
        <w:rPr>
          <w:rFonts w:ascii="Arial" w:hAnsi="Arial" w:cs="Arial"/>
          <w:sz w:val="16"/>
          <w:szCs w:val="16"/>
        </w:rPr>
        <w:t>).</w:t>
      </w:r>
    </w:p>
  </w:footnote>
  <w:footnote w:id="12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Pernyataan lain mungkin </w:t>
      </w:r>
      <w:r>
        <w:rPr>
          <w:rFonts w:ascii="Arial" w:hAnsi="Arial" w:cs="Arial"/>
          <w:sz w:val="16"/>
          <w:szCs w:val="16"/>
          <w:lang w:val="en-US"/>
        </w:rPr>
        <w:t xml:space="preserve">terkait </w:t>
      </w:r>
      <w:r>
        <w:rPr>
          <w:rFonts w:ascii="Arial" w:hAnsi="Arial" w:cs="Arial"/>
          <w:sz w:val="16"/>
          <w:szCs w:val="16"/>
        </w:rPr>
        <w:t xml:space="preserve">dengan Perusahaan Proyek (dan Sponsor, tergantung </w:t>
      </w:r>
      <w:r>
        <w:rPr>
          <w:rFonts w:ascii="Arial" w:hAnsi="Arial" w:cs="Arial"/>
          <w:sz w:val="16"/>
          <w:szCs w:val="16"/>
          <w:lang w:val="en-US"/>
        </w:rPr>
        <w:t>konteksnya</w:t>
      </w:r>
      <w:r>
        <w:rPr>
          <w:rFonts w:ascii="Arial" w:hAnsi="Arial" w:cs="Arial"/>
          <w:sz w:val="16"/>
          <w:szCs w:val="16"/>
        </w:rPr>
        <w:t>) berdasarkan transaksi per transaksi, misalnya kepatuhan lingkungan dan gugatan</w:t>
      </w:r>
      <w:r>
        <w:rPr>
          <w:rFonts w:ascii="Arial" w:hAnsi="Arial" w:cs="Arial"/>
          <w:sz w:val="16"/>
          <w:szCs w:val="16"/>
          <w:lang w:val="en-US"/>
        </w:rPr>
        <w:t>-</w:t>
      </w:r>
      <w:r>
        <w:rPr>
          <w:rFonts w:ascii="Arial" w:hAnsi="Arial" w:cs="Arial"/>
          <w:sz w:val="16"/>
          <w:szCs w:val="16"/>
        </w:rPr>
        <w:t xml:space="preserve">gugatan lingkungan. </w:t>
      </w:r>
    </w:p>
  </w:footnote>
  <w:footnote w:id="12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Pertimbangkan apakah daftar ini harus lengkap atau jika harus dinyatakan tanpa batasan. Mempertimbangkan pernyataan, jika sesuai, untuk mencerminkan peraturan perundang-undangan sanksi yang dapat memengaruhi Kreditur tergantung pada yurisdiksi pendirian atau bisnis mereka, misalnya sanksi AS dan UE (yang dapat melarang Kreditur untuk memberikan dana kepada target otoritas sanksi </w:t>
      </w:r>
      <w:r>
        <w:rPr>
          <w:rFonts w:ascii="Arial" w:hAnsi="Arial" w:cs="Arial"/>
          <w:sz w:val="16"/>
          <w:szCs w:val="16"/>
          <w:lang w:val="en-US"/>
        </w:rPr>
        <w:t>terkait</w:t>
      </w:r>
      <w:r>
        <w:rPr>
          <w:rFonts w:ascii="Arial" w:hAnsi="Arial" w:cs="Arial"/>
          <w:sz w:val="16"/>
          <w:szCs w:val="16"/>
        </w:rPr>
        <w:t xml:space="preserve">, serta batasan lainnya).  </w:t>
      </w:r>
    </w:p>
    <w:p>
      <w:pPr>
        <w:pStyle w:val="49"/>
        <w:tabs>
          <w:tab w:val="left" w:pos="426"/>
        </w:tabs>
        <w:spacing w:after="60"/>
        <w:ind w:left="425"/>
        <w:rPr>
          <w:rFonts w:ascii="Arial" w:hAnsi="Arial" w:cs="Arial"/>
          <w:sz w:val="16"/>
          <w:szCs w:val="16"/>
        </w:rPr>
      </w:pPr>
      <w:r>
        <w:rPr>
          <w:rFonts w:ascii="Arial" w:hAnsi="Arial" w:cs="Arial"/>
          <w:sz w:val="16"/>
          <w:szCs w:val="16"/>
          <w:lang w:val="en-US"/>
        </w:rPr>
        <w:t xml:space="preserve">Para </w:t>
      </w:r>
      <w:r>
        <w:rPr>
          <w:rFonts w:ascii="Arial" w:hAnsi="Arial" w:cs="Arial"/>
          <w:sz w:val="16"/>
          <w:szCs w:val="16"/>
        </w:rPr>
        <w:t xml:space="preserve">Kreditur mungkin juga ingin mempertimbangkan </w:t>
      </w:r>
      <w:r>
        <w:rPr>
          <w:rFonts w:ascii="Arial" w:hAnsi="Arial" w:cs="Arial"/>
          <w:sz w:val="16"/>
          <w:szCs w:val="16"/>
          <w:lang w:val="en-US"/>
        </w:rPr>
        <w:t>untuk melakukan perubahan-perubahan</w:t>
      </w:r>
      <w:r>
        <w:rPr>
          <w:rFonts w:ascii="Arial" w:hAnsi="Arial" w:cs="Arial"/>
          <w:sz w:val="16"/>
          <w:szCs w:val="16"/>
        </w:rPr>
        <w:t xml:space="preserve">, yang sesuai, untuk mencerminkan peraturan perundang-undangan tentang anti pencucian uang, anti penyuapan dan anti korupsi yang dapat memengaruhi mereka (seperti di atas, tergantung pada yurisdiksi pendirian atau </w:t>
      </w:r>
      <w:r>
        <w:rPr>
          <w:rFonts w:ascii="Arial" w:hAnsi="Arial" w:cs="Arial"/>
          <w:sz w:val="16"/>
          <w:szCs w:val="16"/>
          <w:lang w:val="en-US"/>
        </w:rPr>
        <w:t xml:space="preserve">usaha </w:t>
      </w:r>
      <w:r>
        <w:rPr>
          <w:rFonts w:ascii="Arial" w:hAnsi="Arial" w:cs="Arial"/>
          <w:sz w:val="16"/>
          <w:szCs w:val="16"/>
        </w:rPr>
        <w:t>mereka).</w:t>
      </w:r>
    </w:p>
  </w:footnote>
  <w:footnote w:id="12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Bank-bank mungkin ingin membuat referensi khusus di sini untuk mematuhi Prinsip-prinsip Ekuator (dan/atau standar</w:t>
      </w:r>
      <w:r>
        <w:rPr>
          <w:rFonts w:ascii="Arial" w:hAnsi="Arial" w:cs="Arial"/>
          <w:sz w:val="16"/>
          <w:szCs w:val="16"/>
          <w:lang w:val="en-US"/>
        </w:rPr>
        <w:t>-</w:t>
      </w:r>
      <w:r>
        <w:rPr>
          <w:rFonts w:ascii="Arial" w:hAnsi="Arial" w:cs="Arial"/>
          <w:sz w:val="16"/>
          <w:szCs w:val="16"/>
        </w:rPr>
        <w:t xml:space="preserve">standar lingkungan lain yang berlaku). </w:t>
      </w:r>
    </w:p>
  </w:footnote>
  <w:footnote w:id="12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Tergantung pada tahap di mana Proyek berada, Proyek mungkin belum memiliki hak kepemilikan atas semua aset karena konstruksi mungkin belum dimulai.</w:t>
      </w:r>
    </w:p>
  </w:footnote>
  <w:footnote w:id="12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Pernyataan ini (</w:t>
      </w:r>
      <w:r>
        <w:rPr>
          <w:rFonts w:ascii="Arial" w:hAnsi="Arial" w:cs="Arial"/>
          <w:i/>
          <w:iCs/>
          <w:sz w:val="16"/>
          <w:szCs w:val="16"/>
        </w:rPr>
        <w:t>Tidak ada imunitas dan Tindakan</w:t>
      </w:r>
      <w:r>
        <w:rPr>
          <w:rFonts w:ascii="Arial" w:hAnsi="Arial" w:cs="Arial"/>
          <w:i/>
          <w:iCs/>
          <w:sz w:val="16"/>
          <w:szCs w:val="16"/>
          <w:lang w:val="en-US"/>
        </w:rPr>
        <w:t>-tindakan</w:t>
      </w:r>
      <w:r>
        <w:rPr>
          <w:rFonts w:ascii="Arial" w:hAnsi="Arial" w:cs="Arial"/>
          <w:i/>
          <w:iCs/>
          <w:sz w:val="16"/>
          <w:szCs w:val="16"/>
        </w:rPr>
        <w:t xml:space="preserve"> </w:t>
      </w:r>
      <w:r>
        <w:rPr>
          <w:rFonts w:ascii="Arial" w:hAnsi="Arial" w:cs="Arial"/>
          <w:i/>
          <w:iCs/>
          <w:sz w:val="16"/>
          <w:szCs w:val="16"/>
          <w:lang w:val="en-US"/>
        </w:rPr>
        <w:t xml:space="preserve">pribadi </w:t>
      </w:r>
      <w:r>
        <w:rPr>
          <w:rFonts w:ascii="Arial" w:hAnsi="Arial" w:cs="Arial"/>
          <w:i/>
          <w:iCs/>
          <w:sz w:val="16"/>
          <w:szCs w:val="16"/>
        </w:rPr>
        <w:t>dan komersial</w:t>
      </w:r>
      <w:r>
        <w:rPr>
          <w:rFonts w:ascii="Arial" w:hAnsi="Arial" w:cs="Arial"/>
          <w:sz w:val="16"/>
          <w:szCs w:val="16"/>
        </w:rPr>
        <w:t>) dapat dihapus jika jelas bahwa Perusahaan Proyek tidak berhak atas imunitas kedaulatan.</w:t>
      </w:r>
    </w:p>
  </w:footnote>
  <w:footnote w:id="130">
    <w:p>
      <w:pPr>
        <w:pStyle w:val="26"/>
        <w:tabs>
          <w:tab w:val="left" w:pos="426"/>
        </w:tabs>
        <w:spacing w:after="60"/>
        <w:ind w:left="426" w:hanging="426"/>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Para Pihak dapat mempertimbangkan untuk mendefinisikan konsep "keadaan memaksa" pada tahap daftar ketetuan jika diinginkan. </w:t>
      </w:r>
    </w:p>
  </w:footnote>
  <w:footnote w:id="13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Peserta-peserta proyek sehubungan dengan laporan keuangan yang akan diminta tergantung pada peran mereka dalam proyek, terutama jika mereka juga memberikan dukungan seperti jaminan penyelesaian. Oleh karena itu, persyaratan untuk memberikan laporan keuangan biasanya mencakup Perusahaan Proyek dan Para Pemegang Saham/Sponsor.</w:t>
      </w:r>
    </w:p>
  </w:footnote>
  <w:footnote w:id="13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Untuk dipertimbangkan berdasarkan proyek per proyek – penyediaan laporan keuangan tahunan dan setengah tahunan seharusnya cukup</w:t>
      </w:r>
      <w:r>
        <w:rPr>
          <w:rFonts w:ascii="Arial" w:hAnsi="Arial" w:cs="Arial"/>
          <w:sz w:val="16"/>
          <w:szCs w:val="16"/>
          <w:lang w:val="en-US"/>
        </w:rPr>
        <w:t xml:space="preserve"> </w:t>
      </w:r>
      <w:r>
        <w:rPr>
          <w:rFonts w:ascii="Arial" w:hAnsi="Arial" w:cs="Arial"/>
          <w:sz w:val="16"/>
          <w:szCs w:val="16"/>
        </w:rPr>
        <w:t>dalam banyak</w:t>
      </w:r>
      <w:r>
        <w:rPr>
          <w:rFonts w:ascii="Arial" w:hAnsi="Arial" w:cs="Arial"/>
          <w:sz w:val="16"/>
          <w:szCs w:val="16"/>
          <w:lang w:val="en-US"/>
        </w:rPr>
        <w:t xml:space="preserve"> </w:t>
      </w:r>
      <w:r>
        <w:rPr>
          <w:rFonts w:ascii="Arial" w:hAnsi="Arial" w:cs="Arial"/>
          <w:sz w:val="16"/>
          <w:szCs w:val="16"/>
        </w:rPr>
        <w:t xml:space="preserve">keadaan. </w:t>
      </w:r>
    </w:p>
  </w:footnote>
  <w:footnote w:id="13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Frekuensi dan isi laporan kepada Para Kreditur selama masa konstruksi akan tergantung pada masing-masing proyek. </w:t>
      </w:r>
      <w:r>
        <w:rPr>
          <w:rFonts w:ascii="Arial" w:hAnsi="Arial" w:cs="Arial"/>
          <w:sz w:val="16"/>
          <w:szCs w:val="16"/>
          <w:lang w:val="en-US"/>
        </w:rPr>
        <w:t xml:space="preserve">Format </w:t>
      </w:r>
      <w:r>
        <w:rPr>
          <w:rFonts w:ascii="Arial" w:hAnsi="Arial" w:cs="Arial"/>
          <w:sz w:val="16"/>
          <w:szCs w:val="16"/>
        </w:rPr>
        <w:t>laporan konstruksi juga dapat disepakati di muka sebagai prasyarat pendahuluan, atau sebelum pengiriman laporan konstruksi pertama. Bagaimanapun, ruang lingkup laporan konstruksi harus disepakati sebelumnya.</w:t>
      </w:r>
    </w:p>
  </w:footnote>
  <w:footnote w:id="13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Jika belum termuat dalam laporan konstruksi atau operasional.</w:t>
      </w:r>
    </w:p>
  </w:footnote>
  <w:footnote w:id="13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id-ID"/>
        </w:rPr>
        <w:t>Perusahaan Proyek hanya diperbolehkan membayar Biaya</w:t>
      </w:r>
      <w:r>
        <w:rPr>
          <w:rFonts w:ascii="Arial" w:hAnsi="Arial" w:cs="Arial"/>
          <w:sz w:val="16"/>
          <w:szCs w:val="16"/>
          <w:lang w:val="en-US"/>
        </w:rPr>
        <w:t>-biaya</w:t>
      </w:r>
      <w:r>
        <w:rPr>
          <w:rFonts w:ascii="Arial" w:hAnsi="Arial" w:cs="Arial"/>
          <w:sz w:val="16"/>
          <w:szCs w:val="16"/>
          <w:lang w:val="id-ID"/>
        </w:rPr>
        <w:t xml:space="preserve"> Proyek atau Biaya</w:t>
      </w:r>
      <w:r>
        <w:rPr>
          <w:rFonts w:ascii="Arial" w:hAnsi="Arial" w:cs="Arial"/>
          <w:sz w:val="16"/>
          <w:szCs w:val="16"/>
          <w:lang w:val="en-US"/>
        </w:rPr>
        <w:t>-biaya</w:t>
      </w:r>
      <w:r>
        <w:rPr>
          <w:rFonts w:ascii="Arial" w:hAnsi="Arial" w:cs="Arial"/>
          <w:sz w:val="16"/>
          <w:szCs w:val="16"/>
          <w:lang w:val="id-ID"/>
        </w:rPr>
        <w:t xml:space="preserve"> Operasional yang telah dianggarkan (dan sesuai dengan </w:t>
      </w:r>
      <w:r>
        <w:rPr>
          <w:rFonts w:ascii="Arial" w:hAnsi="Arial" w:cs="Arial"/>
          <w:i/>
          <w:iCs/>
          <w:sz w:val="16"/>
          <w:szCs w:val="16"/>
          <w:lang w:val="en-US"/>
        </w:rPr>
        <w:t>Financial Model</w:t>
      </w:r>
      <w:r>
        <w:rPr>
          <w:rFonts w:ascii="Arial" w:hAnsi="Arial" w:cs="Arial"/>
          <w:sz w:val="16"/>
          <w:szCs w:val="16"/>
          <w:lang w:val="id-ID"/>
        </w:rPr>
        <w:t xml:space="preserve">). Akibatnya, para pihak perlu menyepakati seberapa sering anggaran akan </w:t>
      </w:r>
      <w:r>
        <w:rPr>
          <w:rFonts w:ascii="Arial" w:hAnsi="Arial" w:cs="Arial"/>
          <w:sz w:val="16"/>
          <w:szCs w:val="16"/>
          <w:lang w:val="en-US"/>
        </w:rPr>
        <w:t>dibuat</w:t>
      </w:r>
      <w:r>
        <w:rPr>
          <w:rFonts w:ascii="Arial" w:hAnsi="Arial" w:cs="Arial"/>
          <w:sz w:val="16"/>
          <w:szCs w:val="16"/>
          <w:lang w:val="id-ID"/>
        </w:rPr>
        <w:t xml:space="preserve"> oleh Perusahaan Proyek (misalnya setiap tahun, setengah tahunan, triwulanan) dan proses persetujuan oleh </w:t>
      </w:r>
      <w:r>
        <w:rPr>
          <w:rFonts w:ascii="Arial" w:hAnsi="Arial" w:cs="Arial"/>
          <w:sz w:val="16"/>
          <w:szCs w:val="16"/>
          <w:lang w:val="en-US"/>
        </w:rPr>
        <w:t>Para Kreditur</w:t>
      </w:r>
      <w:r>
        <w:rPr>
          <w:rFonts w:ascii="Arial" w:hAnsi="Arial" w:cs="Arial"/>
          <w:sz w:val="16"/>
          <w:szCs w:val="16"/>
          <w:lang w:val="id-ID"/>
        </w:rPr>
        <w:t>. Proses tersebut harus memasukkan beberapa fleksibilitas yang memungkinkan Proyek untuk melampaui anggaran (karena kontinjensi akan telah disepakati untuk tujuan ini) dan ini mungkin melibatkan batas</w:t>
      </w:r>
      <w:r>
        <w:rPr>
          <w:rFonts w:ascii="Arial" w:hAnsi="Arial" w:cs="Arial"/>
          <w:sz w:val="16"/>
          <w:szCs w:val="16"/>
          <w:lang w:val="en-US"/>
        </w:rPr>
        <w:t>an</w:t>
      </w:r>
      <w:r>
        <w:rPr>
          <w:rFonts w:ascii="Arial" w:hAnsi="Arial" w:cs="Arial"/>
          <w:sz w:val="16"/>
          <w:szCs w:val="16"/>
          <w:lang w:val="id-ID"/>
        </w:rPr>
        <w:t xml:space="preserve"> (misalnya biaya dapat melebihi anggaran selama tidak melebihi 110% dari anggaran awal) yang mungkin berlaku untuk semua biaya atau item baris tertentu, atau sebagai alternatif penilaian apakah </w:t>
      </w:r>
      <w:r>
        <w:rPr>
          <w:rFonts w:ascii="Arial" w:hAnsi="Arial" w:cs="Arial"/>
          <w:sz w:val="16"/>
          <w:szCs w:val="16"/>
          <w:lang w:val="en-US"/>
        </w:rPr>
        <w:t xml:space="preserve">kelebihan </w:t>
      </w:r>
      <w:r>
        <w:rPr>
          <w:rFonts w:ascii="Arial" w:hAnsi="Arial" w:cs="Arial"/>
          <w:sz w:val="16"/>
          <w:szCs w:val="16"/>
          <w:lang w:val="id-ID"/>
        </w:rPr>
        <w:t>pengeluaran didanai sepenuhnya. Proses untuk menyetujui anggaran dan memperbarui anggaran dalam suatu periode perlu disepakati</w:t>
      </w:r>
      <w:r>
        <w:rPr>
          <w:rFonts w:ascii="Arial" w:hAnsi="Arial" w:cs="Arial"/>
          <w:sz w:val="16"/>
          <w:szCs w:val="16"/>
        </w:rPr>
        <w:t>.</w:t>
      </w:r>
    </w:p>
  </w:footnote>
  <w:footnote w:id="136">
    <w:p>
      <w:pPr>
        <w:pStyle w:val="26"/>
        <w:tabs>
          <w:tab w:val="left" w:pos="426"/>
        </w:tabs>
        <w:spacing w:after="60"/>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Ini mungkin sangat relevan jika lembaga kredit ekspor terlibat.</w:t>
      </w:r>
    </w:p>
  </w:footnote>
  <w:footnote w:id="137">
    <w:p>
      <w:pPr>
        <w:pStyle w:val="26"/>
        <w:tabs>
          <w:tab w:val="left" w:pos="426"/>
        </w:tabs>
        <w:spacing w:after="60"/>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Lihat catatan kaki </w:t>
      </w:r>
      <w:r>
        <w:rPr>
          <w:rFonts w:ascii="Arial" w:hAnsi="Arial" w:cs="Arial"/>
          <w:sz w:val="16"/>
          <w:szCs w:val="16"/>
        </w:rPr>
        <w:fldChar w:fldCharType="begin"/>
      </w:r>
      <w:r>
        <w:rPr>
          <w:rFonts w:ascii="Arial" w:hAnsi="Arial" w:cs="Arial"/>
          <w:sz w:val="16"/>
          <w:szCs w:val="16"/>
        </w:rPr>
        <w:instrText xml:space="preserve"> NOTEREF _Ref48281632 \h  \* MERGEFORMAT </w:instrText>
      </w:r>
      <w:r>
        <w:rPr>
          <w:rFonts w:ascii="Arial" w:hAnsi="Arial" w:cs="Arial"/>
          <w:sz w:val="16"/>
          <w:szCs w:val="16"/>
        </w:rPr>
        <w:fldChar w:fldCharType="separate"/>
      </w:r>
      <w:r>
        <w:rPr>
          <w:rFonts w:ascii="Arial" w:hAnsi="Arial" w:cs="Arial"/>
          <w:sz w:val="16"/>
          <w:szCs w:val="16"/>
        </w:rPr>
        <w:t>152</w:t>
      </w:r>
      <w:r>
        <w:rPr>
          <w:rFonts w:ascii="Arial" w:hAnsi="Arial" w:cs="Arial"/>
          <w:sz w:val="16"/>
          <w:szCs w:val="16"/>
        </w:rPr>
        <w:fldChar w:fldCharType="end"/>
      </w:r>
      <w:r>
        <w:rPr>
          <w:rFonts w:ascii="Arial" w:hAnsi="Arial" w:cs="Arial"/>
          <w:sz w:val="16"/>
          <w:szCs w:val="16"/>
        </w:rPr>
        <w:t xml:space="preserve"> di bawah.</w:t>
      </w:r>
    </w:p>
  </w:footnote>
  <w:footnote w:id="13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Kewajiban khusus untuk Para Pemegang Saham/Sponsor-Sponsor dapat dimuat dalam Perjanjian Persyaratan Umum atau dalam Perjanjian Kontribusi Pemegang Saham dan Dukungan Sponsor. Biasanya, kewajiban yang dikenakan pada Para Pemegang Saham Saham/Sponsor-Sponsor melibatkan kewajiban umum yang berkaitan dengan status dan kepatuhan terhadap hukum, </w:t>
      </w:r>
      <w:r>
        <w:rPr>
          <w:rFonts w:ascii="Arial" w:hAnsi="Arial" w:cs="Arial"/>
          <w:sz w:val="16"/>
          <w:szCs w:val="16"/>
          <w:lang w:val="en-US"/>
        </w:rPr>
        <w:t xml:space="preserve">perlindungan </w:t>
      </w:r>
      <w:r>
        <w:rPr>
          <w:rFonts w:ascii="Arial" w:hAnsi="Arial" w:cs="Arial"/>
          <w:sz w:val="16"/>
          <w:szCs w:val="16"/>
        </w:rPr>
        <w:t>jaminan yang telah mereka berikan, dan janji untuk mempertahankan kepemilikan saham mereka secara langsung atau tidak langsung di Perusahaan Proyek.</w:t>
      </w:r>
    </w:p>
  </w:footnote>
  <w:footnote w:id="13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Harap dip</w:t>
      </w:r>
      <w:r>
        <w:rPr>
          <w:rFonts w:ascii="Arial" w:hAnsi="Arial" w:cs="Arial"/>
          <w:sz w:val="16"/>
          <w:szCs w:val="16"/>
        </w:rPr>
        <w:t>ertimbangkan apakah daftar ini harus lengkap atau jika harus dinyatakan tanpa batasan. Perlu dicatat bahwa janji</w:t>
      </w:r>
      <w:r>
        <w:rPr>
          <w:rFonts w:ascii="Arial" w:hAnsi="Arial" w:cs="Arial"/>
          <w:sz w:val="16"/>
          <w:szCs w:val="16"/>
          <w:lang w:val="en-US"/>
        </w:rPr>
        <w:t>-</w:t>
      </w:r>
      <w:r>
        <w:rPr>
          <w:rFonts w:ascii="Arial" w:hAnsi="Arial" w:cs="Arial"/>
          <w:sz w:val="16"/>
          <w:szCs w:val="16"/>
        </w:rPr>
        <w:t>janji dan peristiwa</w:t>
      </w:r>
      <w:r>
        <w:rPr>
          <w:rFonts w:ascii="Arial" w:hAnsi="Arial" w:cs="Arial"/>
          <w:sz w:val="16"/>
          <w:szCs w:val="16"/>
          <w:lang w:val="en-US"/>
        </w:rPr>
        <w:t>-</w:t>
      </w:r>
      <w:r>
        <w:rPr>
          <w:rFonts w:ascii="Arial" w:hAnsi="Arial" w:cs="Arial"/>
          <w:sz w:val="16"/>
          <w:szCs w:val="16"/>
        </w:rPr>
        <w:t>peristiwa cedera janji tambahan mungkin perlu ditambahkan saat fase uji tuntas berlangsung sehingga mungkin sulit untuk menentukan cakupan penuh dari hal yang sama pada tahap daftar ketentuan.</w:t>
      </w:r>
    </w:p>
  </w:footnote>
  <w:footnote w:id="140">
    <w:p>
      <w:pPr>
        <w:pStyle w:val="26"/>
        <w:tabs>
          <w:tab w:val="left" w:pos="426"/>
        </w:tabs>
        <w:spacing w:after="60"/>
        <w:ind w:left="426" w:hanging="426"/>
        <w:rPr>
          <w:rFonts w:ascii="Arial" w:hAnsi="Arial" w:cs="Arial"/>
          <w:b/>
          <w:bCs/>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 xml:space="preserve">Harap dipertimbangkan </w:t>
      </w:r>
      <w:r>
        <w:rPr>
          <w:rFonts w:ascii="Arial" w:hAnsi="Arial" w:cs="Arial"/>
          <w:sz w:val="16"/>
          <w:szCs w:val="16"/>
        </w:rPr>
        <w:t>janji</w:t>
      </w:r>
      <w:r>
        <w:rPr>
          <w:rFonts w:ascii="Arial" w:hAnsi="Arial" w:cs="Arial"/>
          <w:sz w:val="16"/>
          <w:szCs w:val="16"/>
          <w:lang w:val="en-US"/>
        </w:rPr>
        <w:t>-</w:t>
      </w:r>
      <w:r>
        <w:rPr>
          <w:rFonts w:ascii="Arial" w:hAnsi="Arial" w:cs="Arial"/>
          <w:sz w:val="16"/>
          <w:szCs w:val="16"/>
        </w:rPr>
        <w:t xml:space="preserve">janji, sebagaimana mestinya, untuk mencerminkan peraturan perundang-undangan sanksi yang dapat memengaruhi Para Kreditur tergantung pada yurisdiksi pendirian atau </w:t>
      </w:r>
      <w:r>
        <w:rPr>
          <w:rFonts w:ascii="Arial" w:hAnsi="Arial" w:cs="Arial"/>
          <w:sz w:val="16"/>
          <w:szCs w:val="16"/>
          <w:lang w:val="en-US"/>
        </w:rPr>
        <w:t xml:space="preserve">usaha </w:t>
      </w:r>
      <w:r>
        <w:rPr>
          <w:rFonts w:ascii="Arial" w:hAnsi="Arial" w:cs="Arial"/>
          <w:sz w:val="16"/>
          <w:szCs w:val="16"/>
        </w:rPr>
        <w:t xml:space="preserve">mereka, misalnya sanksi AS dan UE (yang dapat melarang Para Kreditur untuk memberikan dana kepada target otoritas sanksi </w:t>
      </w:r>
      <w:r>
        <w:rPr>
          <w:rFonts w:ascii="Arial" w:hAnsi="Arial" w:cs="Arial"/>
          <w:sz w:val="16"/>
          <w:szCs w:val="16"/>
          <w:lang w:val="en-US"/>
        </w:rPr>
        <w:t>terkait</w:t>
      </w:r>
      <w:r>
        <w:rPr>
          <w:rFonts w:ascii="Arial" w:hAnsi="Arial" w:cs="Arial"/>
          <w:sz w:val="16"/>
          <w:szCs w:val="16"/>
        </w:rPr>
        <w:t>, serta batasan lainnya). Selain itu, Para Kreditur di beberapa yurisdiksi harus men</w:t>
      </w:r>
      <w:r>
        <w:rPr>
          <w:rFonts w:ascii="Arial" w:hAnsi="Arial" w:cs="Arial"/>
          <w:sz w:val="16"/>
          <w:szCs w:val="16"/>
          <w:lang w:val="en-US"/>
        </w:rPr>
        <w:t xml:space="preserve">erima </w:t>
      </w:r>
      <w:r>
        <w:rPr>
          <w:rFonts w:ascii="Arial" w:hAnsi="Arial" w:cs="Arial"/>
          <w:sz w:val="16"/>
          <w:szCs w:val="16"/>
        </w:rPr>
        <w:t>nasihat sehubungan dengan kemungkinan konflik hukum yang dapat berdampak pada kemampuan mereka untuk memasukkan janji</w:t>
      </w:r>
      <w:r>
        <w:rPr>
          <w:rFonts w:ascii="Arial" w:hAnsi="Arial" w:cs="Arial"/>
          <w:sz w:val="16"/>
          <w:szCs w:val="16"/>
          <w:lang w:val="en-US"/>
        </w:rPr>
        <w:t>-</w:t>
      </w:r>
      <w:r>
        <w:rPr>
          <w:rFonts w:ascii="Arial" w:hAnsi="Arial" w:cs="Arial"/>
          <w:sz w:val="16"/>
          <w:szCs w:val="16"/>
        </w:rPr>
        <w:t>janji se</w:t>
      </w:r>
      <w:r>
        <w:rPr>
          <w:rFonts w:ascii="Arial" w:hAnsi="Arial" w:cs="Arial"/>
          <w:sz w:val="16"/>
          <w:szCs w:val="16"/>
          <w:lang w:val="en-US"/>
        </w:rPr>
        <w:t xml:space="preserve">perti </w:t>
      </w:r>
      <w:r>
        <w:rPr>
          <w:rFonts w:ascii="Arial" w:hAnsi="Arial" w:cs="Arial"/>
          <w:sz w:val="16"/>
          <w:szCs w:val="16"/>
        </w:rPr>
        <w:t xml:space="preserve">ini. Untuk informasi lebih lanjut lihat Catatan APLMA tentang Pedoman Umum Sanksi (tersedia melalui situs web APLMA). </w:t>
      </w:r>
    </w:p>
    <w:p>
      <w:pPr>
        <w:pStyle w:val="49"/>
        <w:tabs>
          <w:tab w:val="left" w:pos="426"/>
        </w:tabs>
        <w:spacing w:after="60"/>
        <w:ind w:left="425"/>
        <w:rPr>
          <w:rFonts w:ascii="Arial" w:hAnsi="Arial" w:cs="Arial"/>
          <w:sz w:val="16"/>
          <w:szCs w:val="16"/>
        </w:rPr>
      </w:pPr>
      <w:r>
        <w:rPr>
          <w:rFonts w:ascii="Arial" w:hAnsi="Arial" w:cs="Arial"/>
          <w:sz w:val="16"/>
          <w:szCs w:val="16"/>
        </w:rPr>
        <w:t xml:space="preserve">Para Kreditur mungkin juga ingin mempertimbangkan </w:t>
      </w:r>
      <w:r>
        <w:rPr>
          <w:rFonts w:ascii="Arial" w:hAnsi="Arial" w:cs="Arial"/>
          <w:sz w:val="16"/>
          <w:szCs w:val="16"/>
          <w:lang w:val="en-US"/>
        </w:rPr>
        <w:t>melakukan perubahan-perubahan</w:t>
      </w:r>
      <w:r>
        <w:rPr>
          <w:rFonts w:ascii="Arial" w:hAnsi="Arial" w:cs="Arial"/>
          <w:sz w:val="16"/>
          <w:szCs w:val="16"/>
        </w:rPr>
        <w:t xml:space="preserve">, yang sesuai, untuk mencerminkan peraturan perundang-undangan tentang anti pencucian uang, anti penyuapan dan anti korupsi yang dapat mempengaruhi mereka (seperti di atas, tergantung pada yurisdiksi pendirian atau </w:t>
      </w:r>
      <w:r>
        <w:rPr>
          <w:rFonts w:ascii="Arial" w:hAnsi="Arial" w:cs="Arial"/>
          <w:sz w:val="16"/>
          <w:szCs w:val="16"/>
          <w:lang w:val="en-US"/>
        </w:rPr>
        <w:t xml:space="preserve">usaha </w:t>
      </w:r>
      <w:r>
        <w:rPr>
          <w:rFonts w:ascii="Arial" w:hAnsi="Arial" w:cs="Arial"/>
          <w:sz w:val="16"/>
          <w:szCs w:val="16"/>
        </w:rPr>
        <w:t>mereka).</w:t>
      </w:r>
    </w:p>
  </w:footnote>
  <w:footnote w:id="14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Para Kreditur mungkin ingin membuat referensi tegas untuk mematuhi Prinsip-prinsip Ekuator di sini.</w:t>
      </w:r>
    </w:p>
  </w:footnote>
  <w:footnote w:id="14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Ini merupakan kewajiban untuk memastikan bahwa Perusahaan Proyek sepenuhnya mempertahankan dan menegakkan haknya berdasarkan Dokumen-dokumen Proyek </w:t>
      </w:r>
      <w:r>
        <w:rPr>
          <w:rFonts w:ascii="Arial" w:hAnsi="Arial" w:cs="Arial"/>
          <w:sz w:val="16"/>
          <w:szCs w:val="16"/>
          <w:lang w:val="en-US"/>
        </w:rPr>
        <w:t>terkait</w:t>
      </w:r>
      <w:r>
        <w:rPr>
          <w:rFonts w:ascii="Arial" w:hAnsi="Arial" w:cs="Arial"/>
          <w:sz w:val="16"/>
          <w:szCs w:val="16"/>
        </w:rPr>
        <w:t>.</w:t>
      </w:r>
    </w:p>
  </w:footnote>
  <w:footnote w:id="14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Dokumen-dokumen Pembiayaan akan berisi sejumlah Diskresi Yang Dicadang</w:t>
      </w:r>
      <w:r>
        <w:rPr>
          <w:rFonts w:ascii="Arial" w:hAnsi="Arial" w:cs="Arial"/>
          <w:sz w:val="16"/>
          <w:szCs w:val="16"/>
          <w:lang w:val="en-US"/>
        </w:rPr>
        <w:t>k</w:t>
      </w:r>
      <w:r>
        <w:rPr>
          <w:rFonts w:ascii="Arial" w:hAnsi="Arial" w:cs="Arial"/>
          <w:sz w:val="16"/>
          <w:szCs w:val="16"/>
        </w:rPr>
        <w:t>an yang ditentukan, di mana Perusahaan Proyek akan diminta untuk bertindak sesuai dengan instruksi Para Kreditur (atau memberi tahu atau berkonsultasi dengan Para Kreditur) sehubungan dengan pelaksanaan hak-hak penting berdasarkan Dokumen-dokumen Proyek. Ketentuan-ketentuan khusus yang akan tunduk pada diskresi yang dicadangkan biasanya tidak akan diidentifikasi pada tahap daftar ketentuan.</w:t>
      </w:r>
    </w:p>
  </w:footnote>
  <w:footnote w:id="14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Dokumen-dokumen Proyek dan anggaran</w:t>
      </w:r>
      <w:r>
        <w:rPr>
          <w:rFonts w:ascii="Arial" w:hAnsi="Arial" w:cs="Arial"/>
          <w:sz w:val="16"/>
          <w:szCs w:val="16"/>
          <w:lang w:val="en-US"/>
        </w:rPr>
        <w:t>-</w:t>
      </w:r>
      <w:r>
        <w:rPr>
          <w:rFonts w:ascii="Arial" w:hAnsi="Arial" w:cs="Arial"/>
          <w:sz w:val="16"/>
          <w:szCs w:val="16"/>
        </w:rPr>
        <w:t xml:space="preserve">anggaran </w:t>
      </w:r>
      <w:r>
        <w:rPr>
          <w:rFonts w:ascii="Arial" w:hAnsi="Arial" w:cs="Arial"/>
          <w:sz w:val="16"/>
          <w:szCs w:val="16"/>
          <w:lang w:val="en-US"/>
        </w:rPr>
        <w:t xml:space="preserve">terkait </w:t>
      </w:r>
      <w:r>
        <w:rPr>
          <w:rFonts w:ascii="Arial" w:hAnsi="Arial" w:cs="Arial"/>
          <w:sz w:val="16"/>
          <w:szCs w:val="16"/>
        </w:rPr>
        <w:t>ditinjau oleh Para Kreditur. Oleh karena itu, Perusahaan Proyek biasanya dilarang untuk menandatangani dokumen apa pun yang belum diungkapkan kepada Para Kreditur atau yang terkandung dalam anggaran</w:t>
      </w:r>
      <w:r>
        <w:rPr>
          <w:rFonts w:ascii="Arial" w:hAnsi="Arial" w:cs="Arial"/>
          <w:sz w:val="16"/>
          <w:szCs w:val="16"/>
          <w:lang w:val="en-US"/>
        </w:rPr>
        <w:t>-</w:t>
      </w:r>
      <w:r>
        <w:rPr>
          <w:rFonts w:ascii="Arial" w:hAnsi="Arial" w:cs="Arial"/>
          <w:sz w:val="16"/>
          <w:szCs w:val="16"/>
        </w:rPr>
        <w:t xml:space="preserve">anggaran </w:t>
      </w:r>
      <w:r>
        <w:rPr>
          <w:rFonts w:ascii="Arial" w:hAnsi="Arial" w:cs="Arial"/>
          <w:sz w:val="16"/>
          <w:szCs w:val="16"/>
          <w:lang w:val="en-US"/>
        </w:rPr>
        <w:t>terkait</w:t>
      </w:r>
      <w:r>
        <w:rPr>
          <w:rFonts w:ascii="Arial" w:hAnsi="Arial" w:cs="Arial"/>
          <w:sz w:val="16"/>
          <w:szCs w:val="16"/>
        </w:rPr>
        <w:t xml:space="preserve">. </w:t>
      </w:r>
      <w:r>
        <w:rPr>
          <w:rFonts w:ascii="Arial" w:hAnsi="Arial" w:cs="Arial"/>
          <w:sz w:val="16"/>
          <w:szCs w:val="16"/>
          <w:lang w:val="en-US"/>
        </w:rPr>
        <w:t xml:space="preserve">Pembuatan dan penandatanganan </w:t>
      </w:r>
      <w:r>
        <w:rPr>
          <w:rFonts w:ascii="Arial" w:hAnsi="Arial" w:cs="Arial"/>
          <w:sz w:val="16"/>
          <w:szCs w:val="16"/>
        </w:rPr>
        <w:t xml:space="preserve">kontrak tambahan akan dikendalikan oleh </w:t>
      </w:r>
      <w:r>
        <w:rPr>
          <w:rFonts w:ascii="Arial" w:hAnsi="Arial" w:cs="Arial"/>
          <w:sz w:val="16"/>
          <w:szCs w:val="16"/>
          <w:lang w:val="en-US"/>
        </w:rPr>
        <w:t>Diskresi Yang Dicadangkan</w:t>
      </w:r>
      <w:r>
        <w:rPr>
          <w:rFonts w:ascii="Arial" w:hAnsi="Arial" w:cs="Arial"/>
          <w:sz w:val="16"/>
          <w:szCs w:val="16"/>
        </w:rPr>
        <w:t xml:space="preserve">, dan mungkin ada jumlah ambang batas untuk kontrak bernilai rendah yang mungkin perlu </w:t>
      </w:r>
      <w:r>
        <w:rPr>
          <w:rFonts w:ascii="Arial" w:hAnsi="Arial" w:cs="Arial"/>
          <w:sz w:val="16"/>
          <w:szCs w:val="16"/>
          <w:lang w:val="en-US"/>
        </w:rPr>
        <w:t xml:space="preserve">dibuat dan ditandatangani </w:t>
      </w:r>
      <w:r>
        <w:rPr>
          <w:rFonts w:ascii="Arial" w:hAnsi="Arial" w:cs="Arial"/>
          <w:sz w:val="16"/>
          <w:szCs w:val="16"/>
        </w:rPr>
        <w:t xml:space="preserve">dalam kegiatan </w:t>
      </w:r>
      <w:r>
        <w:rPr>
          <w:rFonts w:ascii="Arial" w:hAnsi="Arial" w:cs="Arial"/>
          <w:sz w:val="16"/>
          <w:szCs w:val="16"/>
          <w:lang w:val="en-US"/>
        </w:rPr>
        <w:t xml:space="preserve">usaha </w:t>
      </w:r>
      <w:r>
        <w:rPr>
          <w:rFonts w:ascii="Arial" w:hAnsi="Arial" w:cs="Arial"/>
          <w:sz w:val="16"/>
          <w:szCs w:val="16"/>
        </w:rPr>
        <w:t>biasa.</w:t>
      </w:r>
    </w:p>
  </w:footnote>
  <w:footnote w:id="14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Hal ini dapat dicakup oleh kewajiban untuk bertindak sesuai dengan </w:t>
      </w:r>
      <w:r>
        <w:rPr>
          <w:rFonts w:ascii="Arial" w:hAnsi="Arial" w:cs="Arial"/>
          <w:sz w:val="16"/>
          <w:szCs w:val="16"/>
          <w:lang w:val="en-US"/>
        </w:rPr>
        <w:t>Diskresi Yang Dicadangkan</w:t>
      </w:r>
      <w:r>
        <w:rPr>
          <w:rFonts w:ascii="Arial" w:hAnsi="Arial" w:cs="Arial"/>
          <w:sz w:val="16"/>
          <w:szCs w:val="16"/>
        </w:rPr>
        <w:t xml:space="preserve"> yang biasanya memberlakukan pembatasan tersebut juga.</w:t>
      </w:r>
    </w:p>
  </w:footnote>
  <w:footnote w:id="14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Hal ini dapat dicakup oleh kewajiban untuk bertindak sesuai dengan </w:t>
      </w:r>
      <w:r>
        <w:rPr>
          <w:rFonts w:ascii="Arial" w:hAnsi="Arial" w:cs="Arial"/>
          <w:sz w:val="16"/>
          <w:szCs w:val="16"/>
          <w:lang w:val="en-US"/>
        </w:rPr>
        <w:t>Diskresi Yang Dicadangkan</w:t>
      </w:r>
      <w:r>
        <w:rPr>
          <w:rFonts w:ascii="Arial" w:hAnsi="Arial" w:cs="Arial"/>
          <w:sz w:val="16"/>
          <w:szCs w:val="16"/>
        </w:rPr>
        <w:t xml:space="preserve"> yang biasanya memberlakukan pembatasan tersebut juga.</w:t>
      </w:r>
    </w:p>
  </w:footnote>
  <w:footnote w:id="14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Distribusi-distribusi hanya dapat dilakukan jika Pengujian-Pengujian Distribusi terpenuhi – lihat di atas.</w:t>
      </w:r>
    </w:p>
  </w:footnote>
  <w:footnote w:id="14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Harap dip</w:t>
      </w:r>
      <w:r>
        <w:rPr>
          <w:rFonts w:ascii="Arial" w:hAnsi="Arial" w:cs="Arial"/>
          <w:sz w:val="16"/>
          <w:szCs w:val="16"/>
        </w:rPr>
        <w:t xml:space="preserve">ertimbangkan apakah daftar harus lengkap atau dinyatakan tanpa </w:t>
      </w:r>
      <w:r>
        <w:rPr>
          <w:rFonts w:ascii="Arial" w:hAnsi="Arial" w:cs="Arial"/>
          <w:sz w:val="16"/>
          <w:szCs w:val="16"/>
          <w:lang w:val="en-US"/>
        </w:rPr>
        <w:t>pem</w:t>
      </w:r>
      <w:r>
        <w:rPr>
          <w:rFonts w:ascii="Arial" w:hAnsi="Arial" w:cs="Arial"/>
          <w:sz w:val="16"/>
          <w:szCs w:val="16"/>
        </w:rPr>
        <w:t xml:space="preserve">batasan – lihat catatan kaki </w:t>
      </w:r>
      <w:r>
        <w:rPr>
          <w:rFonts w:ascii="Arial" w:hAnsi="Arial" w:cs="Arial"/>
          <w:sz w:val="16"/>
          <w:szCs w:val="16"/>
        </w:rPr>
        <w:fldChar w:fldCharType="begin"/>
      </w:r>
      <w:r>
        <w:rPr>
          <w:rFonts w:ascii="Arial" w:hAnsi="Arial" w:cs="Arial"/>
          <w:sz w:val="16"/>
          <w:szCs w:val="16"/>
        </w:rPr>
        <w:instrText xml:space="preserve"> NOTEREF _Ref25739377 \h  \* MERGEFORMAT </w:instrText>
      </w:r>
      <w:r>
        <w:rPr>
          <w:rFonts w:ascii="Arial" w:hAnsi="Arial" w:cs="Arial"/>
          <w:sz w:val="16"/>
          <w:szCs w:val="16"/>
        </w:rPr>
        <w:fldChar w:fldCharType="separate"/>
      </w:r>
      <w:r>
        <w:rPr>
          <w:rFonts w:ascii="Arial" w:hAnsi="Arial" w:cs="Arial"/>
          <w:sz w:val="16"/>
          <w:szCs w:val="16"/>
        </w:rPr>
        <w:t>140</w:t>
      </w:r>
      <w:r>
        <w:rPr>
          <w:rFonts w:ascii="Arial" w:hAnsi="Arial" w:cs="Arial"/>
          <w:sz w:val="16"/>
          <w:szCs w:val="16"/>
        </w:rPr>
        <w:fldChar w:fldCharType="end"/>
      </w:r>
      <w:r>
        <w:rPr>
          <w:rFonts w:ascii="Arial" w:hAnsi="Arial" w:cs="Arial"/>
          <w:sz w:val="16"/>
          <w:szCs w:val="16"/>
        </w:rPr>
        <w:t xml:space="preserve"> di atas. </w:t>
      </w:r>
    </w:p>
  </w:footnote>
  <w:footnote w:id="149">
    <w:p>
      <w:pPr>
        <w:pStyle w:val="26"/>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lang w:val="en-US"/>
        </w:rPr>
        <w:tab/>
      </w:r>
      <w:r>
        <w:rPr>
          <w:rFonts w:ascii="Arial" w:hAnsi="Arial" w:cs="Arial"/>
          <w:sz w:val="16"/>
          <w:szCs w:val="16"/>
          <w:lang w:val="en-US"/>
        </w:rPr>
        <w:t>Harap dip</w:t>
      </w:r>
      <w:r>
        <w:rPr>
          <w:rFonts w:ascii="Arial" w:hAnsi="Arial" w:cs="Arial"/>
          <w:sz w:val="16"/>
          <w:szCs w:val="16"/>
        </w:rPr>
        <w:t xml:space="preserve">ertimbangkan apakah ini merupakan peristiwa cedera janji atau </w:t>
      </w:r>
      <w:r>
        <w:rPr>
          <w:rFonts w:ascii="Arial" w:hAnsi="Arial" w:cs="Arial"/>
          <w:sz w:val="16"/>
          <w:szCs w:val="16"/>
          <w:lang w:val="en-US"/>
        </w:rPr>
        <w:t xml:space="preserve">percepatan pelunasan </w:t>
      </w:r>
      <w:r>
        <w:rPr>
          <w:rFonts w:ascii="Arial" w:hAnsi="Arial" w:cs="Arial"/>
          <w:sz w:val="16"/>
          <w:szCs w:val="16"/>
        </w:rPr>
        <w:t>wajib (termasuk dalam "Perubahan K</w:t>
      </w:r>
      <w:r>
        <w:rPr>
          <w:rFonts w:ascii="Arial" w:hAnsi="Arial" w:cs="Arial"/>
          <w:sz w:val="16"/>
          <w:szCs w:val="16"/>
          <w:lang w:val="en-US"/>
        </w:rPr>
        <w:t>endali</w:t>
      </w:r>
      <w:r>
        <w:rPr>
          <w:rFonts w:ascii="Arial" w:hAnsi="Arial" w:cs="Arial"/>
          <w:sz w:val="16"/>
          <w:szCs w:val="16"/>
        </w:rPr>
        <w:t xml:space="preserve">") dan jika yang terakhir, </w:t>
      </w:r>
      <w:r>
        <w:rPr>
          <w:rFonts w:ascii="Arial" w:hAnsi="Arial" w:cs="Arial"/>
          <w:sz w:val="16"/>
          <w:szCs w:val="16"/>
          <w:lang w:val="en-US"/>
        </w:rPr>
        <w:t>harap di</w:t>
      </w:r>
      <w:r>
        <w:rPr>
          <w:rFonts w:ascii="Arial" w:hAnsi="Arial" w:cs="Arial"/>
          <w:sz w:val="16"/>
          <w:szCs w:val="16"/>
        </w:rPr>
        <w:t xml:space="preserve">pertimbangkan untuk memasukkannya sebagai salah satu syarat Pengujian-pengujian Distribusi. </w:t>
      </w:r>
    </w:p>
  </w:footnote>
  <w:footnote w:id="15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Penangguhan Dokumen-dokumen Proyek (butir </w:t>
      </w:r>
      <w:r>
        <w:rPr>
          <w:rFonts w:ascii="Arial" w:hAnsi="Arial" w:cs="Arial"/>
          <w:sz w:val="16"/>
          <w:szCs w:val="16"/>
        </w:rPr>
        <w:fldChar w:fldCharType="begin"/>
      </w:r>
      <w:r>
        <w:rPr>
          <w:rFonts w:ascii="Arial" w:hAnsi="Arial" w:cs="Arial"/>
          <w:sz w:val="16"/>
          <w:szCs w:val="16"/>
        </w:rPr>
        <w:instrText xml:space="preserve"> REF _Ref48283431 \w \h  \* MERGEFORMAT </w:instrText>
      </w:r>
      <w:r>
        <w:rPr>
          <w:rFonts w:ascii="Arial" w:hAnsi="Arial" w:cs="Arial"/>
          <w:sz w:val="16"/>
          <w:szCs w:val="16"/>
        </w:rPr>
        <w:fldChar w:fldCharType="separate"/>
      </w:r>
      <w:r>
        <w:rPr>
          <w:rFonts w:ascii="Arial" w:hAnsi="Arial" w:cs="Arial"/>
          <w:sz w:val="16"/>
          <w:szCs w:val="16"/>
        </w:rPr>
        <w:t>H.4(e)</w:t>
      </w:r>
      <w:r>
        <w:rPr>
          <w:rFonts w:ascii="Arial" w:hAnsi="Arial" w:cs="Arial"/>
          <w:sz w:val="16"/>
          <w:szCs w:val="16"/>
        </w:rPr>
        <w:fldChar w:fldCharType="end"/>
      </w:r>
      <w:r>
        <w:rPr>
          <w:rFonts w:ascii="Arial" w:hAnsi="Arial" w:cs="Arial"/>
          <w:sz w:val="16"/>
          <w:szCs w:val="16"/>
        </w:rPr>
        <w:t xml:space="preserve"> di</w:t>
      </w:r>
      <w:r>
        <w:rPr>
          <w:rFonts w:ascii="Arial" w:hAnsi="Arial" w:cs="Arial"/>
          <w:sz w:val="16"/>
          <w:szCs w:val="16"/>
          <w:lang w:val="en-US"/>
        </w:rPr>
        <w:t xml:space="preserve"> a</w:t>
      </w:r>
      <w:r>
        <w:rPr>
          <w:rFonts w:ascii="Arial" w:hAnsi="Arial" w:cs="Arial"/>
          <w:sz w:val="16"/>
          <w:szCs w:val="16"/>
        </w:rPr>
        <w:t xml:space="preserve">tas) atau pengabaian peristiwa cedera janji ini dapat mencakup terjadinya dan </w:t>
      </w:r>
      <w:r>
        <w:rPr>
          <w:rFonts w:ascii="Arial" w:hAnsi="Arial" w:cs="Arial"/>
          <w:sz w:val="16"/>
          <w:szCs w:val="16"/>
          <w:lang w:val="en-US"/>
        </w:rPr>
        <w:t xml:space="preserve">berlanjutnya </w:t>
      </w:r>
      <w:r>
        <w:rPr>
          <w:rFonts w:ascii="Arial" w:hAnsi="Arial" w:cs="Arial"/>
          <w:sz w:val="16"/>
          <w:szCs w:val="16"/>
        </w:rPr>
        <w:t xml:space="preserve">keadaan memaksa. </w:t>
      </w:r>
      <w:r>
        <w:rPr>
          <w:rFonts w:ascii="Arial" w:hAnsi="Arial" w:cs="Arial"/>
          <w:sz w:val="16"/>
          <w:szCs w:val="16"/>
          <w:lang w:val="en-US"/>
        </w:rPr>
        <w:t>Harap dip</w:t>
      </w:r>
      <w:r>
        <w:rPr>
          <w:rFonts w:ascii="Arial" w:hAnsi="Arial" w:cs="Arial"/>
          <w:sz w:val="16"/>
          <w:szCs w:val="16"/>
        </w:rPr>
        <w:t xml:space="preserve">erhatikan bahwa </w:t>
      </w:r>
      <w:r>
        <w:rPr>
          <w:rFonts w:ascii="Arial" w:hAnsi="Arial" w:cs="Arial"/>
          <w:sz w:val="16"/>
          <w:szCs w:val="16"/>
          <w:lang w:val="en-US"/>
        </w:rPr>
        <w:t xml:space="preserve">terjadinya </w:t>
      </w:r>
      <w:r>
        <w:rPr>
          <w:rFonts w:ascii="Arial" w:hAnsi="Arial" w:cs="Arial"/>
          <w:sz w:val="16"/>
          <w:szCs w:val="16"/>
        </w:rPr>
        <w:t xml:space="preserve">dan </w:t>
      </w:r>
      <w:r>
        <w:rPr>
          <w:rFonts w:ascii="Arial" w:hAnsi="Arial" w:cs="Arial"/>
          <w:sz w:val="16"/>
          <w:szCs w:val="16"/>
          <w:lang w:val="en-US"/>
        </w:rPr>
        <w:t xml:space="preserve">berlnjutnya </w:t>
      </w:r>
      <w:r>
        <w:rPr>
          <w:rFonts w:ascii="Arial" w:hAnsi="Arial" w:cs="Arial"/>
          <w:sz w:val="16"/>
          <w:szCs w:val="16"/>
        </w:rPr>
        <w:t xml:space="preserve">keadaan memaksa biasanya tidak ditetapkan sebagai peristiwa cedera janji </w:t>
      </w:r>
      <w:r>
        <w:rPr>
          <w:rFonts w:ascii="Arial" w:hAnsi="Arial" w:cs="Arial"/>
          <w:sz w:val="16"/>
          <w:szCs w:val="16"/>
          <w:lang w:val="en-US"/>
        </w:rPr>
        <w:t xml:space="preserve">khusus </w:t>
      </w:r>
      <w:r>
        <w:rPr>
          <w:rFonts w:ascii="Arial" w:hAnsi="Arial" w:cs="Arial"/>
          <w:sz w:val="16"/>
          <w:szCs w:val="16"/>
        </w:rPr>
        <w:t>dalam kesepakatan regional.</w:t>
      </w:r>
    </w:p>
  </w:footnote>
  <w:footnote w:id="15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Ada berbagai cara untuk merumuskan peristiwa cedera janji ini. Beberapa formulasi </w:t>
      </w:r>
      <w:r>
        <w:rPr>
          <w:rFonts w:ascii="Arial" w:hAnsi="Arial" w:cs="Arial"/>
          <w:sz w:val="16"/>
          <w:szCs w:val="16"/>
          <w:lang w:val="en-US"/>
        </w:rPr>
        <w:t xml:space="preserve">khusus </w:t>
      </w:r>
      <w:r>
        <w:rPr>
          <w:rFonts w:ascii="Arial" w:hAnsi="Arial" w:cs="Arial"/>
          <w:sz w:val="16"/>
          <w:szCs w:val="16"/>
        </w:rPr>
        <w:t xml:space="preserve">termasuk terjadinya peristiwa atau keadaan apa pun yang mungkin memiliki "Dampak Merugikan </w:t>
      </w:r>
      <w:r>
        <w:rPr>
          <w:rFonts w:ascii="Arial" w:hAnsi="Arial" w:cs="Arial"/>
          <w:sz w:val="16"/>
          <w:szCs w:val="16"/>
          <w:lang w:val="en-US"/>
        </w:rPr>
        <w:t>Y</w:t>
      </w:r>
      <w:r>
        <w:rPr>
          <w:rFonts w:ascii="Arial" w:hAnsi="Arial" w:cs="Arial"/>
          <w:sz w:val="16"/>
          <w:szCs w:val="16"/>
        </w:rPr>
        <w:t xml:space="preserve">ang Material" atau "dampak merugikan yang material pada kemampuan </w:t>
      </w:r>
      <w:r>
        <w:rPr>
          <w:rFonts w:ascii="Arial" w:hAnsi="Arial" w:cs="Arial"/>
          <w:sz w:val="16"/>
          <w:szCs w:val="16"/>
          <w:lang w:val="en-US"/>
        </w:rPr>
        <w:t xml:space="preserve">Para </w:t>
      </w:r>
      <w:r>
        <w:rPr>
          <w:rFonts w:ascii="Arial" w:hAnsi="Arial" w:cs="Arial"/>
          <w:sz w:val="16"/>
          <w:szCs w:val="16"/>
        </w:rPr>
        <w:t>Partisipan</w:t>
      </w:r>
      <w:r>
        <w:rPr>
          <w:rFonts w:ascii="Arial" w:hAnsi="Arial" w:cs="Arial"/>
          <w:sz w:val="16"/>
          <w:szCs w:val="16"/>
          <w:lang w:val="en-US"/>
        </w:rPr>
        <w:t xml:space="preserve"> </w:t>
      </w:r>
      <w:r>
        <w:rPr>
          <w:rFonts w:ascii="Arial" w:hAnsi="Arial" w:cs="Arial"/>
          <w:sz w:val="16"/>
          <w:szCs w:val="16"/>
        </w:rPr>
        <w:t>Proyek Utama untuk melaksanakan atau mematuhi kewajibannya berdasarkan dokumen</w:t>
      </w:r>
      <w:r>
        <w:rPr>
          <w:rFonts w:ascii="Arial" w:hAnsi="Arial" w:cs="Arial"/>
          <w:sz w:val="16"/>
          <w:szCs w:val="16"/>
          <w:lang w:val="en-US"/>
        </w:rPr>
        <w:t>-</w:t>
      </w:r>
      <w:r>
        <w:rPr>
          <w:rFonts w:ascii="Arial" w:hAnsi="Arial" w:cs="Arial"/>
          <w:sz w:val="16"/>
          <w:szCs w:val="16"/>
        </w:rPr>
        <w:t>dokumen transaksi". Formulasi aktual biasanya diselesaikan selama tahap dokumen</w:t>
      </w:r>
      <w:r>
        <w:rPr>
          <w:rFonts w:ascii="Arial" w:hAnsi="Arial" w:cs="Arial"/>
          <w:sz w:val="16"/>
          <w:szCs w:val="16"/>
          <w:lang w:val="en-US"/>
        </w:rPr>
        <w:t>-</w:t>
      </w:r>
      <w:r>
        <w:rPr>
          <w:rFonts w:ascii="Arial" w:hAnsi="Arial" w:cs="Arial"/>
          <w:sz w:val="16"/>
          <w:szCs w:val="16"/>
        </w:rPr>
        <w:t>dokumen</w:t>
      </w:r>
      <w:r>
        <w:rPr>
          <w:rFonts w:ascii="Arial" w:hAnsi="Arial" w:cs="Arial"/>
          <w:sz w:val="16"/>
          <w:szCs w:val="16"/>
          <w:lang w:val="en-US"/>
        </w:rPr>
        <w:t xml:space="preserve"> </w:t>
      </w:r>
      <w:r>
        <w:rPr>
          <w:rFonts w:ascii="Arial" w:hAnsi="Arial" w:cs="Arial"/>
          <w:sz w:val="16"/>
          <w:szCs w:val="16"/>
        </w:rPr>
        <w:t>fasilitas.</w:t>
      </w:r>
    </w:p>
  </w:footnote>
  <w:footnote w:id="15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Bergantung pada kesepakatan, mungkin tepat untuk memasukkan peristiwa</w:t>
      </w:r>
      <w:r>
        <w:rPr>
          <w:rFonts w:ascii="Arial" w:hAnsi="Arial" w:cs="Arial"/>
          <w:sz w:val="16"/>
          <w:szCs w:val="16"/>
          <w:lang w:val="en-US"/>
        </w:rPr>
        <w:t>-</w:t>
      </w:r>
      <w:r>
        <w:rPr>
          <w:rFonts w:ascii="Arial" w:hAnsi="Arial" w:cs="Arial"/>
          <w:sz w:val="16"/>
          <w:szCs w:val="16"/>
        </w:rPr>
        <w:t xml:space="preserve">peristiwa cedera janji tambahan sehubungan dengan </w:t>
      </w:r>
      <w:r>
        <w:rPr>
          <w:rFonts w:ascii="Arial" w:hAnsi="Arial" w:cs="Arial"/>
          <w:sz w:val="16"/>
          <w:szCs w:val="16"/>
          <w:lang w:val="en-US"/>
        </w:rPr>
        <w:t xml:space="preserve">Para </w:t>
      </w:r>
      <w:r>
        <w:rPr>
          <w:rFonts w:ascii="Arial" w:hAnsi="Arial" w:cs="Arial"/>
          <w:sz w:val="16"/>
          <w:szCs w:val="16"/>
        </w:rPr>
        <w:t>Partisipan</w:t>
      </w:r>
      <w:r>
        <w:rPr>
          <w:rFonts w:ascii="Arial" w:hAnsi="Arial" w:cs="Arial"/>
          <w:sz w:val="16"/>
          <w:szCs w:val="16"/>
          <w:lang w:val="en-US"/>
        </w:rPr>
        <w:t xml:space="preserve"> </w:t>
      </w:r>
      <w:r>
        <w:rPr>
          <w:rFonts w:ascii="Arial" w:hAnsi="Arial" w:cs="Arial"/>
          <w:sz w:val="16"/>
          <w:szCs w:val="16"/>
        </w:rPr>
        <w:t xml:space="preserve">Proyek Utama – termasuk pernyataan yang </w:t>
      </w:r>
      <w:r>
        <w:rPr>
          <w:rFonts w:ascii="Arial" w:hAnsi="Arial" w:cs="Arial"/>
          <w:sz w:val="16"/>
          <w:szCs w:val="16"/>
          <w:lang w:val="en-US"/>
        </w:rPr>
        <w:t>tidak benar</w:t>
      </w:r>
      <w:r>
        <w:rPr>
          <w:rFonts w:ascii="Arial" w:hAnsi="Arial" w:cs="Arial"/>
          <w:sz w:val="16"/>
          <w:szCs w:val="16"/>
        </w:rPr>
        <w:t>, pelanggaran perjanjian – misalnya, jika ada Perjanjian Kontribusi Pemegang Saham dan Dukungan Sponsor dengan persyaratan pendanaan atau bentuk penanggungan. Jika ada perjanjian konsesi atau dukungan pemerintah untuk proyek tersebut, mungkin tepat untuk memasukkan peristiwa</w:t>
      </w:r>
      <w:r>
        <w:rPr>
          <w:rFonts w:ascii="Arial" w:hAnsi="Arial" w:cs="Arial"/>
          <w:sz w:val="16"/>
          <w:szCs w:val="16"/>
          <w:lang w:val="en-US"/>
        </w:rPr>
        <w:t>-</w:t>
      </w:r>
      <w:r>
        <w:rPr>
          <w:rFonts w:ascii="Arial" w:hAnsi="Arial" w:cs="Arial"/>
          <w:sz w:val="16"/>
          <w:szCs w:val="16"/>
        </w:rPr>
        <w:t>peristiwa cedera janji tertentu untuk menangani peristiwa</w:t>
      </w:r>
      <w:r>
        <w:rPr>
          <w:rFonts w:ascii="Arial" w:hAnsi="Arial" w:cs="Arial"/>
          <w:sz w:val="16"/>
          <w:szCs w:val="16"/>
          <w:lang w:val="en-US"/>
        </w:rPr>
        <w:t>-</w:t>
      </w:r>
      <w:r>
        <w:rPr>
          <w:rFonts w:ascii="Arial" w:hAnsi="Arial" w:cs="Arial"/>
          <w:sz w:val="16"/>
          <w:szCs w:val="16"/>
        </w:rPr>
        <w:t>peristiwa dan pencapaian</w:t>
      </w:r>
      <w:r>
        <w:rPr>
          <w:rFonts w:ascii="Arial" w:hAnsi="Arial" w:cs="Arial"/>
          <w:sz w:val="16"/>
          <w:szCs w:val="16"/>
          <w:lang w:val="en-US"/>
        </w:rPr>
        <w:t>-</w:t>
      </w:r>
      <w:r>
        <w:rPr>
          <w:rFonts w:ascii="Arial" w:hAnsi="Arial" w:cs="Arial"/>
          <w:sz w:val="16"/>
          <w:szCs w:val="16"/>
        </w:rPr>
        <w:t xml:space="preserve">pencapaian </w:t>
      </w:r>
      <w:r>
        <w:rPr>
          <w:rFonts w:ascii="Arial" w:hAnsi="Arial" w:cs="Arial"/>
          <w:sz w:val="16"/>
          <w:szCs w:val="16"/>
          <w:lang w:val="en-US"/>
        </w:rPr>
        <w:t xml:space="preserve">berdasarkan </w:t>
      </w:r>
      <w:r>
        <w:rPr>
          <w:rFonts w:ascii="Arial" w:hAnsi="Arial" w:cs="Arial"/>
          <w:sz w:val="16"/>
          <w:szCs w:val="16"/>
        </w:rPr>
        <w:t>dokumen</w:t>
      </w:r>
      <w:r>
        <w:rPr>
          <w:rFonts w:ascii="Arial" w:hAnsi="Arial" w:cs="Arial"/>
          <w:sz w:val="16"/>
          <w:szCs w:val="16"/>
          <w:lang w:val="en-US"/>
        </w:rPr>
        <w:t>-</w:t>
      </w:r>
      <w:r>
        <w:rPr>
          <w:rFonts w:ascii="Arial" w:hAnsi="Arial" w:cs="Arial"/>
          <w:sz w:val="16"/>
          <w:szCs w:val="16"/>
        </w:rPr>
        <w:t>dokumen ini.</w:t>
      </w:r>
    </w:p>
  </w:footnote>
  <w:footnote w:id="15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Jika proyek memiliki satu sindikat Para Kreditur, mereka dapat bertindak sebagai satu blok sesuai dengan </w:t>
      </w:r>
      <w:r>
        <w:rPr>
          <w:rFonts w:ascii="Arial" w:hAnsi="Arial" w:cs="Arial"/>
          <w:sz w:val="16"/>
          <w:szCs w:val="16"/>
          <w:lang w:val="en-US"/>
        </w:rPr>
        <w:t xml:space="preserve">kesepakatan </w:t>
      </w:r>
      <w:r>
        <w:rPr>
          <w:rFonts w:ascii="Arial" w:hAnsi="Arial" w:cs="Arial"/>
          <w:sz w:val="16"/>
          <w:szCs w:val="16"/>
        </w:rPr>
        <w:t xml:space="preserve">pemungutan suara Para Kreditur Mayoritas yang ditetapkan dalam </w:t>
      </w:r>
      <w:r>
        <w:rPr>
          <w:rFonts w:ascii="Arial" w:hAnsi="Arial" w:cs="Arial"/>
          <w:i/>
          <w:iCs/>
          <w:sz w:val="16"/>
          <w:szCs w:val="16"/>
        </w:rPr>
        <w:t>template</w:t>
      </w:r>
      <w:r>
        <w:rPr>
          <w:rFonts w:ascii="Arial" w:hAnsi="Arial" w:cs="Arial"/>
          <w:sz w:val="16"/>
          <w:szCs w:val="16"/>
        </w:rPr>
        <w:t xml:space="preserve"> daftar ketentuan ini. Namun, banyak pembiayaan proyek melibatkan sumber utang yang berbeda (misalnya bank domestik dan internasional, lembaga multilateral (MLA), lembaga kredit ekspor (ECA) dan investor obligasi). Hal ini menimbulkan pertanyaan tentang hak-hak apa yang dimiliki oleh berbagai jenis Kreditur dan bagaimana hubungan antara Para Kreditur dikelola – pertanyaan-pertanyaan ini biasanya dibahas dalam perjanjian </w:t>
      </w:r>
      <w:r>
        <w:rPr>
          <w:rFonts w:ascii="Arial" w:hAnsi="Arial" w:cs="Arial"/>
          <w:sz w:val="16"/>
          <w:szCs w:val="16"/>
          <w:lang w:val="en-US"/>
        </w:rPr>
        <w:t>Antarkreditur</w:t>
      </w:r>
      <w:r>
        <w:rPr>
          <w:rFonts w:ascii="Arial" w:hAnsi="Arial" w:cs="Arial"/>
          <w:sz w:val="16"/>
          <w:szCs w:val="16"/>
        </w:rPr>
        <w:t xml:space="preserve"> (yang merupakan Akta Jaminan </w:t>
      </w:r>
      <w:r>
        <w:rPr>
          <w:rFonts w:ascii="Arial" w:hAnsi="Arial" w:cs="Arial"/>
          <w:i/>
          <w:iCs/>
          <w:sz w:val="16"/>
          <w:szCs w:val="16"/>
        </w:rPr>
        <w:t xml:space="preserve">Trust </w:t>
      </w:r>
      <w:r>
        <w:rPr>
          <w:rFonts w:ascii="Arial" w:hAnsi="Arial" w:cs="Arial"/>
          <w:sz w:val="16"/>
          <w:szCs w:val="16"/>
        </w:rPr>
        <w:t xml:space="preserve">dan </w:t>
      </w:r>
      <w:r>
        <w:rPr>
          <w:rFonts w:ascii="Arial" w:hAnsi="Arial" w:cs="Arial"/>
          <w:sz w:val="16"/>
          <w:szCs w:val="16"/>
          <w:lang w:val="en-US"/>
        </w:rPr>
        <w:t>Antarkreditur</w:t>
      </w:r>
      <w:r>
        <w:rPr>
          <w:rFonts w:ascii="Arial" w:hAnsi="Arial" w:cs="Arial"/>
          <w:sz w:val="16"/>
          <w:szCs w:val="16"/>
        </w:rPr>
        <w:t xml:space="preserve"> dalam daftar ketentuan ini). Hal ini </w:t>
      </w:r>
      <w:r>
        <w:rPr>
          <w:rFonts w:ascii="Arial" w:hAnsi="Arial" w:cs="Arial"/>
          <w:sz w:val="16"/>
          <w:szCs w:val="16"/>
          <w:lang w:val="en-US"/>
        </w:rPr>
        <w:t xml:space="preserve">merupakan hal yang </w:t>
      </w:r>
      <w:r>
        <w:rPr>
          <w:rFonts w:ascii="Arial" w:hAnsi="Arial" w:cs="Arial"/>
          <w:sz w:val="16"/>
          <w:szCs w:val="16"/>
        </w:rPr>
        <w:t xml:space="preserve">umum untuk beberapa elemen dari </w:t>
      </w:r>
      <w:r>
        <w:rPr>
          <w:rFonts w:ascii="Arial" w:hAnsi="Arial" w:cs="Arial"/>
          <w:sz w:val="16"/>
          <w:szCs w:val="16"/>
          <w:lang w:val="en-US"/>
        </w:rPr>
        <w:t>kesepakatan-kesepakatan Antarkreditur</w:t>
      </w:r>
      <w:r>
        <w:rPr>
          <w:rFonts w:ascii="Arial" w:hAnsi="Arial" w:cs="Arial"/>
          <w:sz w:val="16"/>
          <w:szCs w:val="16"/>
        </w:rPr>
        <w:t xml:space="preserve"> yang akan ditetapkan dalam daftar ketentuan, tetapi ini akan tergantung pada transaksi </w:t>
      </w:r>
      <w:r>
        <w:rPr>
          <w:rFonts w:ascii="Arial" w:hAnsi="Arial" w:cs="Arial"/>
          <w:sz w:val="16"/>
          <w:szCs w:val="16"/>
          <w:lang w:val="en-US"/>
        </w:rPr>
        <w:t xml:space="preserve">khusus </w:t>
      </w:r>
      <w:r>
        <w:rPr>
          <w:rFonts w:ascii="Arial" w:hAnsi="Arial" w:cs="Arial"/>
          <w:sz w:val="16"/>
          <w:szCs w:val="16"/>
        </w:rPr>
        <w:t xml:space="preserve">dan </w:t>
      </w:r>
      <w:r>
        <w:rPr>
          <w:rFonts w:ascii="Arial" w:hAnsi="Arial" w:cs="Arial"/>
          <w:sz w:val="16"/>
          <w:szCs w:val="16"/>
          <w:lang w:val="en-US"/>
        </w:rPr>
        <w:t xml:space="preserve">pada </w:t>
      </w:r>
      <w:r>
        <w:rPr>
          <w:rFonts w:ascii="Arial" w:hAnsi="Arial" w:cs="Arial"/>
          <w:sz w:val="16"/>
          <w:szCs w:val="16"/>
        </w:rPr>
        <w:t>tahap apa daftar ketentua</w:t>
      </w:r>
      <w:r>
        <w:rPr>
          <w:rFonts w:ascii="Arial" w:hAnsi="Arial" w:cs="Arial"/>
          <w:sz w:val="16"/>
          <w:szCs w:val="16"/>
          <w:lang w:val="en-US"/>
        </w:rPr>
        <w:t>n</w:t>
      </w:r>
      <w:r>
        <w:rPr>
          <w:rFonts w:ascii="Arial" w:hAnsi="Arial" w:cs="Arial"/>
          <w:sz w:val="16"/>
          <w:szCs w:val="16"/>
        </w:rPr>
        <w:t xml:space="preserve"> </w:t>
      </w:r>
      <w:r>
        <w:rPr>
          <w:rFonts w:ascii="Arial" w:hAnsi="Arial" w:cs="Arial"/>
          <w:sz w:val="16"/>
          <w:szCs w:val="16"/>
          <w:lang w:val="en-US"/>
        </w:rPr>
        <w:t>dibuat dan ditandatangani</w:t>
      </w:r>
      <w:r>
        <w:rPr>
          <w:rFonts w:ascii="Arial" w:hAnsi="Arial" w:cs="Arial"/>
          <w:sz w:val="16"/>
          <w:szCs w:val="16"/>
        </w:rPr>
        <w:t>.</w:t>
      </w:r>
    </w:p>
    <w:p>
      <w:pPr>
        <w:pStyle w:val="49"/>
        <w:tabs>
          <w:tab w:val="left" w:pos="426"/>
        </w:tabs>
        <w:spacing w:after="60"/>
        <w:ind w:left="450" w:hanging="24"/>
        <w:rPr>
          <w:rFonts w:ascii="Arial" w:hAnsi="Arial" w:cs="Arial"/>
          <w:sz w:val="16"/>
          <w:szCs w:val="16"/>
        </w:rPr>
      </w:pPr>
      <w:r>
        <w:rPr>
          <w:rFonts w:ascii="Arial" w:hAnsi="Arial" w:cs="Arial"/>
          <w:sz w:val="16"/>
          <w:szCs w:val="16"/>
          <w:lang w:val="en-US"/>
        </w:rPr>
        <w:t>Permasalahan Antarkreditur</w:t>
      </w:r>
      <w:r>
        <w:rPr>
          <w:rFonts w:ascii="Arial" w:hAnsi="Arial" w:cs="Arial"/>
          <w:sz w:val="16"/>
          <w:szCs w:val="16"/>
        </w:rPr>
        <w:t xml:space="preserve"> yang </w:t>
      </w:r>
      <w:r>
        <w:rPr>
          <w:rFonts w:ascii="Arial" w:hAnsi="Arial" w:cs="Arial"/>
          <w:sz w:val="16"/>
          <w:szCs w:val="16"/>
          <w:lang w:val="en-US"/>
        </w:rPr>
        <w:t xml:space="preserve">biasanya </w:t>
      </w:r>
      <w:r>
        <w:rPr>
          <w:rFonts w:ascii="Arial" w:hAnsi="Arial" w:cs="Arial"/>
          <w:sz w:val="16"/>
          <w:szCs w:val="16"/>
        </w:rPr>
        <w:t>muncul dalam konteks pembiayaan proyek dan yang dapat dirujuk dalam daftar ketentuan adalah:</w:t>
      </w:r>
    </w:p>
    <w:p>
      <w:pPr>
        <w:pStyle w:val="49"/>
        <w:numPr>
          <w:ilvl w:val="0"/>
          <w:numId w:val="14"/>
        </w:numPr>
        <w:tabs>
          <w:tab w:val="left" w:pos="426"/>
        </w:tabs>
        <w:spacing w:after="60"/>
        <w:ind w:left="851" w:hanging="401"/>
        <w:rPr>
          <w:rFonts w:ascii="Arial" w:hAnsi="Arial" w:cs="Arial"/>
          <w:sz w:val="16"/>
          <w:szCs w:val="16"/>
        </w:rPr>
      </w:pPr>
      <w:r>
        <w:rPr>
          <w:rFonts w:ascii="Arial" w:hAnsi="Arial" w:cs="Arial"/>
          <w:sz w:val="16"/>
          <w:szCs w:val="16"/>
          <w:lang w:val="en-US"/>
        </w:rPr>
        <w:t xml:space="preserve">Kesepakatan-kesepakatan terkait </w:t>
      </w:r>
      <w:r>
        <w:rPr>
          <w:rFonts w:ascii="Arial" w:hAnsi="Arial" w:cs="Arial"/>
          <w:sz w:val="16"/>
          <w:szCs w:val="16"/>
        </w:rPr>
        <w:t xml:space="preserve">pemungutan suara bersama untuk penyampingan, </w:t>
      </w:r>
      <w:r>
        <w:rPr>
          <w:rFonts w:ascii="Arial" w:hAnsi="Arial" w:cs="Arial"/>
          <w:sz w:val="16"/>
          <w:szCs w:val="16"/>
          <w:lang w:val="en-US"/>
        </w:rPr>
        <w:t xml:space="preserve">perubahan </w:t>
      </w:r>
      <w:r>
        <w:rPr>
          <w:rFonts w:ascii="Arial" w:hAnsi="Arial" w:cs="Arial"/>
          <w:sz w:val="16"/>
          <w:szCs w:val="16"/>
        </w:rPr>
        <w:t>dan tindakan penegakan – misalnya, apakah semua kategori Kreditur harus setuju sebelum salah satu dari mereka dapat mempercepat pinjaman</w:t>
      </w:r>
      <w:r>
        <w:rPr>
          <w:rFonts w:ascii="Arial" w:hAnsi="Arial" w:cs="Arial"/>
          <w:sz w:val="16"/>
          <w:szCs w:val="16"/>
          <w:lang w:val="en-US"/>
        </w:rPr>
        <w:t>-</w:t>
      </w:r>
      <w:r>
        <w:rPr>
          <w:rFonts w:ascii="Arial" w:hAnsi="Arial" w:cs="Arial"/>
          <w:sz w:val="16"/>
          <w:szCs w:val="16"/>
        </w:rPr>
        <w:t>pinjaman mereka atau mengambil tindakan penegakan? Keputusan apa yang dapat di</w:t>
      </w:r>
      <w:r>
        <w:rPr>
          <w:rFonts w:ascii="Arial" w:hAnsi="Arial" w:cs="Arial"/>
          <w:sz w:val="16"/>
          <w:szCs w:val="16"/>
          <w:lang w:val="en-US"/>
        </w:rPr>
        <w:t xml:space="preserve">ambil </w:t>
      </w:r>
      <w:r>
        <w:rPr>
          <w:rFonts w:ascii="Arial" w:hAnsi="Arial" w:cs="Arial"/>
          <w:sz w:val="16"/>
          <w:szCs w:val="16"/>
        </w:rPr>
        <w:t xml:space="preserve">oleh mayoritas Para Kreditur (daripada semua Para Kreditur) dan bagaimana 'mayoritas' akan dihitung (misalnya secara menyeluruh atau berdasarkan fasilitas – lihat catatan kaki </w:t>
      </w:r>
      <w:r>
        <w:rPr>
          <w:rFonts w:ascii="Arial" w:hAnsi="Arial" w:cs="Arial"/>
          <w:sz w:val="16"/>
          <w:szCs w:val="16"/>
        </w:rPr>
        <w:fldChar w:fldCharType="begin"/>
      </w:r>
      <w:r>
        <w:rPr>
          <w:rFonts w:ascii="Arial" w:hAnsi="Arial" w:cs="Arial"/>
          <w:sz w:val="16"/>
          <w:szCs w:val="16"/>
        </w:rPr>
        <w:instrText xml:space="preserve"> NOTEREF _9kP4WSt67349DBDG \h  \* MERGEFORMAT </w:instrText>
      </w:r>
      <w:r>
        <w:rPr>
          <w:rFonts w:ascii="Arial" w:hAnsi="Arial" w:cs="Arial"/>
          <w:sz w:val="16"/>
          <w:szCs w:val="16"/>
        </w:rPr>
        <w:fldChar w:fldCharType="separate"/>
      </w:r>
      <w:r>
        <w:rPr>
          <w:rFonts w:ascii="Arial" w:hAnsi="Arial" w:cs="Arial"/>
          <w:sz w:val="16"/>
          <w:szCs w:val="16"/>
        </w:rPr>
        <w:t>156</w:t>
      </w:r>
      <w:r>
        <w:rPr>
          <w:rFonts w:ascii="Arial" w:hAnsi="Arial" w:cs="Arial"/>
          <w:sz w:val="16"/>
          <w:szCs w:val="16"/>
        </w:rPr>
        <w:fldChar w:fldCharType="end"/>
      </w:r>
      <w:r>
        <w:rPr>
          <w:rFonts w:ascii="Arial" w:hAnsi="Arial" w:cs="Arial"/>
          <w:sz w:val="16"/>
          <w:szCs w:val="16"/>
        </w:rPr>
        <w:t xml:space="preserve">). </w:t>
      </w:r>
    </w:p>
    <w:p>
      <w:pPr>
        <w:pStyle w:val="49"/>
        <w:numPr>
          <w:ilvl w:val="0"/>
          <w:numId w:val="14"/>
        </w:numPr>
        <w:tabs>
          <w:tab w:val="left" w:pos="426"/>
        </w:tabs>
        <w:spacing w:after="60"/>
        <w:ind w:left="851" w:hanging="401"/>
        <w:rPr>
          <w:rFonts w:ascii="Arial" w:hAnsi="Arial" w:cs="Arial"/>
          <w:sz w:val="16"/>
          <w:szCs w:val="16"/>
        </w:rPr>
      </w:pPr>
      <w:r>
        <w:rPr>
          <w:rFonts w:ascii="Arial" w:hAnsi="Arial" w:cs="Arial"/>
          <w:sz w:val="16"/>
          <w:szCs w:val="16"/>
        </w:rPr>
        <w:t xml:space="preserve">Pembagian jaminan secara </w:t>
      </w:r>
      <w:r>
        <w:rPr>
          <w:rFonts w:ascii="Arial" w:hAnsi="Arial" w:cs="Arial"/>
          <w:i/>
          <w:iCs/>
          <w:sz w:val="16"/>
          <w:szCs w:val="16"/>
        </w:rPr>
        <w:t>pro rata</w:t>
      </w:r>
      <w:r>
        <w:rPr>
          <w:rFonts w:ascii="Arial" w:hAnsi="Arial" w:cs="Arial"/>
          <w:sz w:val="16"/>
          <w:szCs w:val="16"/>
        </w:rPr>
        <w:t xml:space="preserve"> – pendekatan umum adalah agar semua Para Kreditur berbagi dalam jaminan secara </w:t>
      </w:r>
      <w:r>
        <w:rPr>
          <w:rFonts w:ascii="Arial" w:hAnsi="Arial" w:cs="Arial"/>
          <w:i/>
          <w:iCs/>
          <w:sz w:val="16"/>
          <w:szCs w:val="16"/>
        </w:rPr>
        <w:t>pro rata</w:t>
      </w:r>
      <w:r>
        <w:rPr>
          <w:rFonts w:ascii="Arial" w:hAnsi="Arial" w:cs="Arial"/>
          <w:sz w:val="16"/>
          <w:szCs w:val="16"/>
        </w:rPr>
        <w:t xml:space="preserve">, tetapi </w:t>
      </w:r>
      <w:r>
        <w:rPr>
          <w:rFonts w:ascii="Arial" w:hAnsi="Arial" w:cs="Arial"/>
          <w:sz w:val="16"/>
          <w:szCs w:val="16"/>
          <w:lang w:val="en-US"/>
        </w:rPr>
        <w:t xml:space="preserve">kesepakatan-kesepakatan </w:t>
      </w:r>
      <w:r>
        <w:rPr>
          <w:rFonts w:ascii="Arial" w:hAnsi="Arial" w:cs="Arial"/>
          <w:sz w:val="16"/>
          <w:szCs w:val="16"/>
        </w:rPr>
        <w:t>berbeda dapat disepakati pada proyek tertentu (misalnya modal kerja Para Kreditur mungkin tidak dijamin, atau kelompok kreditur tertentu mungkin memiliki jaminan atas aset tertentu).</w:t>
      </w:r>
    </w:p>
    <w:p>
      <w:pPr>
        <w:pStyle w:val="49"/>
        <w:numPr>
          <w:ilvl w:val="0"/>
          <w:numId w:val="14"/>
        </w:numPr>
        <w:tabs>
          <w:tab w:val="left" w:pos="426"/>
        </w:tabs>
        <w:spacing w:after="60"/>
        <w:ind w:left="851" w:hanging="401"/>
        <w:rPr>
          <w:rFonts w:ascii="Arial" w:hAnsi="Arial" w:cs="Arial"/>
          <w:sz w:val="16"/>
          <w:szCs w:val="16"/>
        </w:rPr>
      </w:pPr>
      <w:r>
        <w:rPr>
          <w:rFonts w:ascii="Arial" w:hAnsi="Arial" w:cs="Arial"/>
          <w:sz w:val="16"/>
          <w:szCs w:val="16"/>
        </w:rPr>
        <w:t xml:space="preserve">Subordinasi utang tertentu – di mana </w:t>
      </w:r>
      <w:r>
        <w:rPr>
          <w:rFonts w:ascii="Arial" w:hAnsi="Arial" w:cs="Arial"/>
          <w:sz w:val="16"/>
          <w:szCs w:val="16"/>
          <w:lang w:val="en-US"/>
        </w:rPr>
        <w:t xml:space="preserve">para </w:t>
      </w:r>
      <w:r>
        <w:rPr>
          <w:rFonts w:ascii="Arial" w:hAnsi="Arial" w:cs="Arial"/>
          <w:sz w:val="16"/>
          <w:szCs w:val="16"/>
        </w:rPr>
        <w:t>pemegang saham memberikan pinjaman kepada Perusahaan Proyek, ini akan selalu disubordinasikan ke utang bank, tetapi mungkin ada lapisan utang tambahan.</w:t>
      </w:r>
    </w:p>
    <w:p>
      <w:pPr>
        <w:pStyle w:val="49"/>
        <w:numPr>
          <w:ilvl w:val="0"/>
          <w:numId w:val="14"/>
        </w:numPr>
        <w:tabs>
          <w:tab w:val="left" w:pos="426"/>
        </w:tabs>
        <w:spacing w:after="60"/>
        <w:ind w:left="851" w:hanging="401"/>
        <w:rPr>
          <w:rFonts w:ascii="Arial" w:hAnsi="Arial" w:cs="Arial"/>
          <w:sz w:val="16"/>
          <w:szCs w:val="16"/>
        </w:rPr>
      </w:pPr>
      <w:r>
        <w:rPr>
          <w:rFonts w:ascii="Arial" w:hAnsi="Arial" w:cs="Arial"/>
          <w:sz w:val="16"/>
          <w:szCs w:val="16"/>
          <w:lang w:val="en-US"/>
        </w:rPr>
        <w:t xml:space="preserve">Para </w:t>
      </w:r>
      <w:r>
        <w:rPr>
          <w:rFonts w:ascii="Arial" w:hAnsi="Arial" w:cs="Arial"/>
          <w:sz w:val="16"/>
          <w:szCs w:val="16"/>
        </w:rPr>
        <w:t xml:space="preserve">Pihak lawan </w:t>
      </w:r>
      <w:r>
        <w:rPr>
          <w:rFonts w:ascii="Arial" w:hAnsi="Arial" w:cs="Arial"/>
          <w:sz w:val="16"/>
          <w:szCs w:val="16"/>
          <w:lang w:val="en-US"/>
        </w:rPr>
        <w:t xml:space="preserve">berkontrak </w:t>
      </w:r>
      <w:r>
        <w:rPr>
          <w:rFonts w:ascii="Arial" w:hAnsi="Arial" w:cs="Arial"/>
          <w:sz w:val="16"/>
          <w:szCs w:val="16"/>
        </w:rPr>
        <w:t xml:space="preserve">lindung nilai – sebagian besar pembiayaan proyek melibatkan beberapa bentuk lindung nilai (biasanya lindung-nilai suku bunga) dan posisi </w:t>
      </w:r>
      <w:r>
        <w:rPr>
          <w:rFonts w:ascii="Arial" w:hAnsi="Arial" w:cs="Arial"/>
          <w:sz w:val="16"/>
          <w:szCs w:val="16"/>
          <w:lang w:val="en-US"/>
        </w:rPr>
        <w:t xml:space="preserve">para </w:t>
      </w:r>
      <w:r>
        <w:rPr>
          <w:rFonts w:ascii="Arial" w:hAnsi="Arial" w:cs="Arial"/>
          <w:sz w:val="16"/>
          <w:szCs w:val="16"/>
        </w:rPr>
        <w:t xml:space="preserve">pihak lawan </w:t>
      </w:r>
      <w:r>
        <w:rPr>
          <w:rFonts w:ascii="Arial" w:hAnsi="Arial" w:cs="Arial"/>
          <w:sz w:val="16"/>
          <w:szCs w:val="16"/>
          <w:lang w:val="en-US"/>
        </w:rPr>
        <w:t xml:space="preserve">berkontrak </w:t>
      </w:r>
      <w:r>
        <w:rPr>
          <w:rFonts w:ascii="Arial" w:hAnsi="Arial" w:cs="Arial"/>
          <w:sz w:val="16"/>
          <w:szCs w:val="16"/>
        </w:rPr>
        <w:t>lindung nilai tentang Para Kreditur perlu di</w:t>
      </w:r>
      <w:r>
        <w:rPr>
          <w:rFonts w:ascii="Arial" w:hAnsi="Arial" w:cs="Arial"/>
          <w:sz w:val="16"/>
          <w:szCs w:val="16"/>
          <w:lang w:val="en-US"/>
        </w:rPr>
        <w:t>perhatikan</w:t>
      </w:r>
      <w:r>
        <w:rPr>
          <w:rFonts w:ascii="Arial" w:hAnsi="Arial" w:cs="Arial"/>
          <w:sz w:val="16"/>
          <w:szCs w:val="16"/>
        </w:rPr>
        <w:t xml:space="preserve">. Posisi umum adalah bahwa pihak lawan </w:t>
      </w:r>
      <w:r>
        <w:rPr>
          <w:rFonts w:ascii="Arial" w:hAnsi="Arial" w:cs="Arial"/>
          <w:sz w:val="16"/>
          <w:szCs w:val="16"/>
          <w:lang w:val="en-US"/>
        </w:rPr>
        <w:t xml:space="preserve">berkontrak </w:t>
      </w:r>
      <w:r>
        <w:rPr>
          <w:rFonts w:ascii="Arial" w:hAnsi="Arial" w:cs="Arial"/>
          <w:sz w:val="16"/>
          <w:szCs w:val="16"/>
        </w:rPr>
        <w:t>lindung nilai (i) tidak memberikan suara pada penyampingan</w:t>
      </w:r>
      <w:r>
        <w:rPr>
          <w:rFonts w:ascii="Arial" w:hAnsi="Arial" w:cs="Arial"/>
          <w:sz w:val="16"/>
          <w:szCs w:val="16"/>
          <w:lang w:val="en-US"/>
        </w:rPr>
        <w:t>-</w:t>
      </w:r>
      <w:r>
        <w:rPr>
          <w:rFonts w:ascii="Arial" w:hAnsi="Arial" w:cs="Arial"/>
          <w:sz w:val="16"/>
          <w:szCs w:val="16"/>
        </w:rPr>
        <w:t xml:space="preserve">penyampingan dan </w:t>
      </w:r>
      <w:r>
        <w:rPr>
          <w:rFonts w:ascii="Arial" w:hAnsi="Arial" w:cs="Arial"/>
          <w:sz w:val="16"/>
          <w:szCs w:val="16"/>
          <w:lang w:val="en-US"/>
        </w:rPr>
        <w:t>perubahan-perubahan</w:t>
      </w:r>
      <w:r>
        <w:rPr>
          <w:rFonts w:ascii="Arial" w:hAnsi="Arial" w:cs="Arial"/>
          <w:sz w:val="16"/>
          <w:szCs w:val="16"/>
        </w:rPr>
        <w:t xml:space="preserve">, (ii) dapat mengakhiri </w:t>
      </w:r>
      <w:r>
        <w:rPr>
          <w:rFonts w:ascii="Arial" w:hAnsi="Arial" w:cs="Arial"/>
          <w:i/>
          <w:iCs/>
          <w:sz w:val="16"/>
          <w:szCs w:val="16"/>
        </w:rPr>
        <w:t>swap</w:t>
      </w:r>
      <w:r>
        <w:rPr>
          <w:rFonts w:ascii="Arial" w:hAnsi="Arial" w:cs="Arial"/>
          <w:sz w:val="16"/>
          <w:szCs w:val="16"/>
        </w:rPr>
        <w:t xml:space="preserve"> secara independen jika ada cedera janji tertentu (biasanya </w:t>
      </w:r>
      <w:r>
        <w:rPr>
          <w:rFonts w:ascii="Arial" w:hAnsi="Arial" w:cs="Arial"/>
          <w:sz w:val="16"/>
          <w:szCs w:val="16"/>
          <w:lang w:val="en-US"/>
        </w:rPr>
        <w:t xml:space="preserve">peristiwa tidak adanya </w:t>
      </w:r>
      <w:r>
        <w:rPr>
          <w:rFonts w:ascii="Arial" w:hAnsi="Arial" w:cs="Arial"/>
          <w:sz w:val="16"/>
          <w:szCs w:val="16"/>
        </w:rPr>
        <w:t xml:space="preserve">pembayaran atau insolvensi) dan (iii) memiliki suara pada penegakan berdasarkan biaya </w:t>
      </w:r>
      <w:r>
        <w:rPr>
          <w:rFonts w:ascii="Arial" w:hAnsi="Arial" w:cs="Arial"/>
          <w:sz w:val="16"/>
          <w:szCs w:val="16"/>
          <w:lang w:val="en-US"/>
        </w:rPr>
        <w:t xml:space="preserve">pemutusan </w:t>
      </w:r>
      <w:r>
        <w:rPr>
          <w:rFonts w:ascii="Arial" w:hAnsi="Arial" w:cs="Arial"/>
          <w:sz w:val="16"/>
          <w:szCs w:val="16"/>
        </w:rPr>
        <w:t xml:space="preserve">aktual pada </w:t>
      </w:r>
      <w:r>
        <w:rPr>
          <w:rFonts w:ascii="Arial" w:hAnsi="Arial" w:cs="Arial"/>
          <w:sz w:val="16"/>
          <w:szCs w:val="16"/>
          <w:lang w:val="en-US"/>
        </w:rPr>
        <w:t xml:space="preserve">saat </w:t>
      </w:r>
      <w:r>
        <w:rPr>
          <w:rFonts w:ascii="Arial" w:hAnsi="Arial" w:cs="Arial"/>
          <w:sz w:val="16"/>
          <w:szCs w:val="16"/>
        </w:rPr>
        <w:t xml:space="preserve">penghentian </w:t>
      </w:r>
      <w:r>
        <w:rPr>
          <w:rFonts w:ascii="Arial" w:hAnsi="Arial" w:cs="Arial"/>
          <w:i/>
          <w:iCs/>
          <w:sz w:val="16"/>
          <w:szCs w:val="16"/>
        </w:rPr>
        <w:t>swap</w:t>
      </w:r>
      <w:r>
        <w:rPr>
          <w:rFonts w:ascii="Arial" w:hAnsi="Arial" w:cs="Arial"/>
          <w:sz w:val="16"/>
          <w:szCs w:val="16"/>
        </w:rPr>
        <w:t>.</w:t>
      </w:r>
    </w:p>
    <w:p>
      <w:pPr>
        <w:pStyle w:val="49"/>
        <w:numPr>
          <w:ilvl w:val="0"/>
          <w:numId w:val="14"/>
        </w:numPr>
        <w:tabs>
          <w:tab w:val="left" w:pos="426"/>
        </w:tabs>
        <w:spacing w:after="60"/>
        <w:ind w:left="851" w:hanging="401"/>
        <w:rPr>
          <w:rFonts w:ascii="Arial" w:hAnsi="Arial" w:cs="Arial"/>
          <w:sz w:val="16"/>
          <w:szCs w:val="16"/>
        </w:rPr>
      </w:pPr>
      <w:r>
        <w:rPr>
          <w:rFonts w:ascii="Arial" w:hAnsi="Arial" w:cs="Arial"/>
          <w:sz w:val="16"/>
          <w:szCs w:val="16"/>
        </w:rPr>
        <w:t>Prioritas</w:t>
      </w:r>
      <w:r>
        <w:rPr>
          <w:rFonts w:ascii="Arial" w:hAnsi="Arial" w:cs="Arial"/>
          <w:sz w:val="16"/>
          <w:szCs w:val="16"/>
          <w:lang w:val="en-US"/>
        </w:rPr>
        <w:t>-p</w:t>
      </w:r>
      <w:r>
        <w:rPr>
          <w:rFonts w:ascii="Arial" w:hAnsi="Arial" w:cs="Arial"/>
          <w:sz w:val="16"/>
          <w:szCs w:val="16"/>
        </w:rPr>
        <w:t>rioritas pembayaran pasca penegakan – ini adalah bagaimana setiap hasil penegakan akan dibagi di</w:t>
      </w:r>
      <w:r>
        <w:rPr>
          <w:rFonts w:ascii="Arial" w:hAnsi="Arial" w:cs="Arial"/>
          <w:sz w:val="16"/>
          <w:szCs w:val="16"/>
          <w:lang w:val="en-US"/>
        </w:rPr>
        <w:t xml:space="preserve"> antara</w:t>
      </w:r>
      <w:r>
        <w:rPr>
          <w:rFonts w:ascii="Arial" w:hAnsi="Arial" w:cs="Arial"/>
          <w:sz w:val="16"/>
          <w:szCs w:val="16"/>
        </w:rPr>
        <w:t xml:space="preserve"> Para Kreditur. Titik awalnya biasanya bahwa hasil akan dibagikan secara </w:t>
      </w:r>
      <w:r>
        <w:rPr>
          <w:rFonts w:ascii="Arial" w:hAnsi="Arial" w:cs="Arial"/>
          <w:i/>
          <w:iCs/>
          <w:sz w:val="16"/>
          <w:szCs w:val="16"/>
        </w:rPr>
        <w:t>pro rata</w:t>
      </w:r>
      <w:r>
        <w:rPr>
          <w:rFonts w:ascii="Arial" w:hAnsi="Arial" w:cs="Arial"/>
          <w:sz w:val="16"/>
          <w:szCs w:val="16"/>
        </w:rPr>
        <w:t xml:space="preserve"> di antara Para Kreditur, tetapi </w:t>
      </w:r>
      <w:r>
        <w:rPr>
          <w:rFonts w:ascii="Arial" w:hAnsi="Arial" w:cs="Arial"/>
          <w:sz w:val="16"/>
          <w:szCs w:val="16"/>
          <w:lang w:val="en-US"/>
        </w:rPr>
        <w:t xml:space="preserve">kesepakatan-kesepakatan atas rincian </w:t>
      </w:r>
      <w:r>
        <w:rPr>
          <w:rFonts w:ascii="Arial" w:hAnsi="Arial" w:cs="Arial"/>
          <w:sz w:val="16"/>
          <w:szCs w:val="16"/>
        </w:rPr>
        <w:t xml:space="preserve">pembagian akan </w:t>
      </w:r>
      <w:r>
        <w:rPr>
          <w:rFonts w:ascii="Arial" w:hAnsi="Arial" w:cs="Arial"/>
          <w:sz w:val="16"/>
          <w:szCs w:val="16"/>
          <w:lang w:val="en-US"/>
        </w:rPr>
        <w:t xml:space="preserve">khusus </w:t>
      </w:r>
      <w:r>
        <w:rPr>
          <w:rFonts w:ascii="Arial" w:hAnsi="Arial" w:cs="Arial"/>
          <w:sz w:val="16"/>
          <w:szCs w:val="16"/>
        </w:rPr>
        <w:t>untuk setiap proyek.</w:t>
      </w:r>
    </w:p>
  </w:footnote>
  <w:footnote w:id="15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Jika Fasilitas ECA disertakan, pengalihan/pemindahan hak ke ECA akan diizinkan tanpa persetujuan Perusahaan Proyek.</w:t>
      </w:r>
    </w:p>
  </w:footnote>
  <w:footnote w:id="15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Pembiayaan proyek biasanya menuntut tingkat keterlibatan yang lebih tinggi dari Para Kreditur selama masa proyek daripada yang terjadi pada pembiayaan</w:t>
      </w:r>
      <w:r>
        <w:rPr>
          <w:rFonts w:ascii="Arial" w:hAnsi="Arial" w:cs="Arial"/>
          <w:sz w:val="16"/>
          <w:szCs w:val="16"/>
          <w:lang w:val="en-US"/>
        </w:rPr>
        <w:t>-</w:t>
      </w:r>
      <w:r>
        <w:rPr>
          <w:rFonts w:ascii="Arial" w:hAnsi="Arial" w:cs="Arial"/>
          <w:sz w:val="16"/>
          <w:szCs w:val="16"/>
        </w:rPr>
        <w:t xml:space="preserve">pembiayaan yang kurang terstruktur, dan dengan demikian menyimpang dari posisi yang biasanya diharapkan bahwa Para Kreditur dapat dengan bebas memindahkan hak </w:t>
      </w:r>
      <w:r>
        <w:rPr>
          <w:rFonts w:ascii="Arial" w:hAnsi="Arial" w:cs="Arial"/>
          <w:sz w:val="16"/>
          <w:szCs w:val="16"/>
          <w:lang w:val="en-US"/>
        </w:rPr>
        <w:t xml:space="preserve">para </w:t>
      </w:r>
      <w:r>
        <w:rPr>
          <w:rFonts w:ascii="Arial" w:hAnsi="Arial" w:cs="Arial"/>
          <w:sz w:val="16"/>
          <w:szCs w:val="16"/>
        </w:rPr>
        <w:t>partisipan. Para Kreditur dapat sering dipanggil untuk membuat keputusan, dan mungkin ada keputusan penting yang harus dibuat oleh Para Kreditur, yang berarti bahwa pihak-pihak dalam pembiayaan proyek seringkali sangat fokus pada masalah yang berkaitan dengan identitas Para Kreditur dan hubungan antara Para Kreditur</w:t>
      </w:r>
      <w:r>
        <w:rPr>
          <w:rFonts w:ascii="Arial" w:hAnsi="Arial" w:cs="Arial"/>
          <w:sz w:val="16"/>
          <w:szCs w:val="16"/>
          <w:lang w:val="en-US"/>
        </w:rPr>
        <w:t xml:space="preserve"> secara terpisah</w:t>
      </w:r>
      <w:r>
        <w:rPr>
          <w:rFonts w:ascii="Arial" w:hAnsi="Arial" w:cs="Arial"/>
          <w:sz w:val="16"/>
          <w:szCs w:val="16"/>
        </w:rPr>
        <w:t xml:space="preserve">, dan antara kelompok kreditur dan debitur. Pokok-pokok diskusi </w:t>
      </w:r>
      <w:r>
        <w:rPr>
          <w:rFonts w:ascii="Arial" w:hAnsi="Arial" w:cs="Arial"/>
          <w:sz w:val="16"/>
          <w:szCs w:val="16"/>
          <w:lang w:val="en-US"/>
        </w:rPr>
        <w:t xml:space="preserve">biasanya </w:t>
      </w:r>
      <w:r>
        <w:rPr>
          <w:rFonts w:ascii="Arial" w:hAnsi="Arial" w:cs="Arial"/>
          <w:sz w:val="16"/>
          <w:szCs w:val="16"/>
        </w:rPr>
        <w:t xml:space="preserve">mencakup definisi entitas penerima pengalihan yang diizinkan (misalnya, kekhawatiran dapat diajukan tentang kemungkinan bahwa </w:t>
      </w:r>
      <w:r>
        <w:rPr>
          <w:rFonts w:ascii="Arial" w:hAnsi="Arial" w:cs="Arial"/>
          <w:i/>
          <w:iCs/>
          <w:sz w:val="16"/>
          <w:szCs w:val="16"/>
        </w:rPr>
        <w:t>vulture fund</w:t>
      </w:r>
      <w:r>
        <w:rPr>
          <w:rFonts w:ascii="Arial" w:hAnsi="Arial" w:cs="Arial"/>
          <w:sz w:val="16"/>
          <w:szCs w:val="16"/>
        </w:rPr>
        <w:t xml:space="preserve"> atau spesialis </w:t>
      </w:r>
      <w:r>
        <w:rPr>
          <w:rFonts w:ascii="Arial" w:hAnsi="Arial" w:cs="Arial"/>
          <w:sz w:val="16"/>
          <w:szCs w:val="16"/>
          <w:lang w:val="en-US"/>
        </w:rPr>
        <w:t>kredit macet</w:t>
      </w:r>
      <w:r>
        <w:rPr>
          <w:rFonts w:ascii="Arial" w:hAnsi="Arial" w:cs="Arial"/>
          <w:sz w:val="16"/>
          <w:szCs w:val="16"/>
        </w:rPr>
        <w:t xml:space="preserve">, misalnya, mungkin menjadi Para Kreditur). Pada beberapa transaksi, para pihak dapat menyetujui daftar </w:t>
      </w:r>
      <w:r>
        <w:rPr>
          <w:rFonts w:ascii="Arial" w:hAnsi="Arial" w:cs="Arial"/>
          <w:sz w:val="16"/>
          <w:szCs w:val="16"/>
          <w:lang w:val="en-US"/>
        </w:rPr>
        <w:t xml:space="preserve">para </w:t>
      </w:r>
      <w:r>
        <w:rPr>
          <w:rFonts w:ascii="Arial" w:hAnsi="Arial" w:cs="Arial"/>
          <w:sz w:val="16"/>
          <w:szCs w:val="16"/>
        </w:rPr>
        <w:t>penerima pemindahan hak yang diizinkan (misalnya daftar putih).</w:t>
      </w:r>
    </w:p>
  </w:footnote>
  <w:footnote w:id="156">
    <w:p>
      <w:pPr>
        <w:pStyle w:val="26"/>
        <w:tabs>
          <w:tab w:val="clear" w:pos="113"/>
        </w:tabs>
        <w:spacing w:after="60"/>
        <w:ind w:left="426" w:hanging="426"/>
        <w:rPr>
          <w:rFonts w:ascii="Arial" w:hAnsi="Arial" w:cs="Arial"/>
          <w:sz w:val="16"/>
          <w:szCs w:val="16"/>
          <w:lang w:val="en-US"/>
        </w:rPr>
      </w:pPr>
      <w:r>
        <w:rPr>
          <w:rStyle w:val="25"/>
          <w:rFonts w:ascii="Arial" w:hAnsi="Arial" w:cs="Arial"/>
          <w:sz w:val="16"/>
          <w:szCs w:val="16"/>
          <w:vertAlign w:val="baseline"/>
        </w:rPr>
        <w:footnoteRef/>
      </w:r>
      <w:r>
        <w:rPr>
          <w:rStyle w:val="25"/>
          <w:rFonts w:ascii="Arial" w:hAnsi="Arial" w:cs="Arial"/>
          <w:sz w:val="16"/>
          <w:szCs w:val="16"/>
          <w:vertAlign w:val="baseline"/>
        </w:rPr>
        <w:tab/>
      </w:r>
      <w:r>
        <w:rPr>
          <w:rStyle w:val="25"/>
          <w:rFonts w:ascii="Arial" w:hAnsi="Arial" w:cs="Arial"/>
          <w:sz w:val="16"/>
          <w:szCs w:val="16"/>
          <w:vertAlign w:val="baseline"/>
        </w:rPr>
        <w:t>Untuk dipertimbangkan jika ini harus dimasukkan. Ini mungkin kurang dapat diterima oleh k</w:t>
      </w:r>
      <w:r>
        <w:rPr>
          <w:rFonts w:ascii="Arial" w:hAnsi="Arial" w:cs="Arial"/>
          <w:sz w:val="16"/>
          <w:szCs w:val="16"/>
        </w:rPr>
        <w:t>reditur</w:t>
      </w:r>
      <w:r>
        <w:rPr>
          <w:rStyle w:val="25"/>
          <w:rFonts w:ascii="Arial" w:hAnsi="Arial" w:cs="Arial"/>
          <w:sz w:val="16"/>
          <w:szCs w:val="16"/>
          <w:vertAlign w:val="baseline"/>
        </w:rPr>
        <w:t xml:space="preserve"> tertentu (misalnya ECA dan DFI yang meminjamkan langsung ke Proyek).</w:t>
      </w:r>
    </w:p>
  </w:footnote>
  <w:footnote w:id="15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Prasyarat pendahuluan tambahan mungkin diperlukan jika pembiayaan mencakup Fasilitas ECA, Fasilitas PPN, atau tahap pembiayaan syariah.</w:t>
      </w:r>
    </w:p>
  </w:footnote>
  <w:footnote w:id="158">
    <w:p>
      <w:pPr>
        <w:pStyle w:val="26"/>
        <w:tabs>
          <w:tab w:val="left" w:pos="426"/>
        </w:tabs>
        <w:spacing w:after="60"/>
        <w:ind w:left="426" w:hanging="426"/>
        <w:rPr>
          <w:rFonts w:ascii="Arial" w:hAnsi="Arial" w:cs="Arial"/>
          <w:sz w:val="16"/>
          <w:szCs w:val="16"/>
          <w:lang w:eastAsia="zh-CN"/>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B</w:t>
      </w:r>
      <w:r>
        <w:rPr>
          <w:rFonts w:ascii="Arial" w:hAnsi="Arial" w:cs="Arial"/>
          <w:sz w:val="16"/>
          <w:szCs w:val="16"/>
          <w:lang w:eastAsia="zh-CN"/>
        </w:rPr>
        <w:t xml:space="preserve">ergantung pada keadaan dan waktu tertentu dari setiap transaksi dan berdasarkan saran dari penasihat lokal, </w:t>
      </w:r>
      <w:r>
        <w:rPr>
          <w:rFonts w:ascii="Arial" w:hAnsi="Arial" w:cs="Arial"/>
          <w:sz w:val="16"/>
          <w:szCs w:val="16"/>
          <w:lang w:val="en-US" w:eastAsia="zh-CN"/>
        </w:rPr>
        <w:t xml:space="preserve">prasyarat pendahuluan untuk </w:t>
      </w:r>
      <w:r>
        <w:rPr>
          <w:rFonts w:ascii="Arial" w:hAnsi="Arial" w:cs="Arial"/>
          <w:sz w:val="16"/>
          <w:szCs w:val="16"/>
          <w:lang w:eastAsia="zh-CN"/>
        </w:rPr>
        <w:t xml:space="preserve">penarikan awal tertentu dapat dipindahkan </w:t>
      </w:r>
      <w:r>
        <w:rPr>
          <w:rFonts w:ascii="Arial" w:hAnsi="Arial" w:cs="Arial"/>
          <w:sz w:val="16"/>
          <w:szCs w:val="16"/>
          <w:lang w:val="en-US" w:eastAsia="zh-CN"/>
        </w:rPr>
        <w:t xml:space="preserve">menjadi prasyarat </w:t>
      </w:r>
      <w:r>
        <w:rPr>
          <w:rFonts w:ascii="Arial" w:hAnsi="Arial" w:cs="Arial"/>
          <w:sz w:val="16"/>
          <w:szCs w:val="16"/>
          <w:lang w:eastAsia="zh-CN"/>
        </w:rPr>
        <w:t>selanjutnya dengan batas waktu, misalnya, otorisasi</w:t>
      </w:r>
      <w:r>
        <w:rPr>
          <w:rFonts w:ascii="Arial" w:hAnsi="Arial" w:cs="Arial"/>
          <w:sz w:val="16"/>
          <w:szCs w:val="16"/>
          <w:lang w:val="en-US" w:eastAsia="zh-CN"/>
        </w:rPr>
        <w:t>-</w:t>
      </w:r>
      <w:r>
        <w:rPr>
          <w:rFonts w:ascii="Arial" w:hAnsi="Arial" w:cs="Arial"/>
          <w:sz w:val="16"/>
          <w:szCs w:val="16"/>
          <w:lang w:eastAsia="zh-CN"/>
        </w:rPr>
        <w:t>otorisasi proyek dan asuransi tertentu yang tidak penting terkait dengan fase operasional Proyek.</w:t>
      </w:r>
    </w:p>
  </w:footnote>
  <w:footnote w:id="15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Setidaknya ini akan melibatkan Perusahaan Proyek, Sponsor-sponsor dan/atau Para Pemegang Saham (jika bukan juga Sponsor-sponsor). Salinan resmi dari dokumen </w:t>
      </w:r>
      <w:r>
        <w:rPr>
          <w:rFonts w:ascii="Arial" w:hAnsi="Arial" w:cs="Arial"/>
          <w:sz w:val="16"/>
          <w:szCs w:val="16"/>
          <w:lang w:val="en-US"/>
        </w:rPr>
        <w:t xml:space="preserve">pendirian </w:t>
      </w:r>
      <w:r>
        <w:rPr>
          <w:rFonts w:ascii="Arial" w:hAnsi="Arial" w:cs="Arial"/>
          <w:sz w:val="16"/>
          <w:szCs w:val="16"/>
        </w:rPr>
        <w:t>Kontraktor Konstruksi, Kontraktor O&amp;</w:t>
      </w:r>
      <w:r>
        <w:rPr>
          <w:rFonts w:ascii="Arial" w:hAnsi="Arial" w:cs="Arial"/>
          <w:sz w:val="16"/>
          <w:szCs w:val="16"/>
          <w:lang w:val="en-US"/>
        </w:rPr>
        <w:t>P</w:t>
      </w:r>
      <w:r>
        <w:rPr>
          <w:rFonts w:ascii="Arial" w:hAnsi="Arial" w:cs="Arial"/>
          <w:sz w:val="16"/>
          <w:szCs w:val="16"/>
        </w:rPr>
        <w:t xml:space="preserve"> dan/atau O</w:t>
      </w:r>
      <w:r>
        <w:rPr>
          <w:rFonts w:ascii="Arial" w:hAnsi="Arial" w:cs="Arial"/>
          <w:i/>
          <w:iCs/>
          <w:sz w:val="16"/>
          <w:szCs w:val="16"/>
        </w:rPr>
        <w:t>fftaker</w:t>
      </w:r>
      <w:r>
        <w:rPr>
          <w:rFonts w:ascii="Arial" w:hAnsi="Arial" w:cs="Arial"/>
          <w:sz w:val="16"/>
          <w:szCs w:val="16"/>
        </w:rPr>
        <w:t xml:space="preserve"> </w:t>
      </w:r>
      <w:r>
        <w:rPr>
          <w:rFonts w:ascii="Arial" w:hAnsi="Arial" w:cs="Arial"/>
          <w:sz w:val="16"/>
          <w:szCs w:val="16"/>
          <w:lang w:val="en-US"/>
        </w:rPr>
        <w:t xml:space="preserve">wajib diperoleh </w:t>
      </w:r>
      <w:r>
        <w:rPr>
          <w:rFonts w:ascii="Arial" w:hAnsi="Arial" w:cs="Arial"/>
          <w:sz w:val="16"/>
          <w:szCs w:val="16"/>
        </w:rPr>
        <w:t>jika perjanjian</w:t>
      </w:r>
      <w:r>
        <w:rPr>
          <w:rFonts w:ascii="Arial" w:hAnsi="Arial" w:cs="Arial"/>
          <w:sz w:val="16"/>
          <w:szCs w:val="16"/>
          <w:lang w:val="en-US"/>
        </w:rPr>
        <w:t>-</w:t>
      </w:r>
      <w:r>
        <w:rPr>
          <w:rFonts w:ascii="Arial" w:hAnsi="Arial" w:cs="Arial"/>
          <w:sz w:val="16"/>
          <w:szCs w:val="16"/>
        </w:rPr>
        <w:t xml:space="preserve">perjanjian langsung dibuat </w:t>
      </w:r>
      <w:r>
        <w:rPr>
          <w:rFonts w:ascii="Arial" w:hAnsi="Arial" w:cs="Arial"/>
          <w:sz w:val="16"/>
          <w:szCs w:val="16"/>
          <w:lang w:val="en-US"/>
        </w:rPr>
        <w:t xml:space="preserve">dan ditandatangani </w:t>
      </w:r>
      <w:r>
        <w:rPr>
          <w:rFonts w:ascii="Arial" w:hAnsi="Arial" w:cs="Arial"/>
          <w:sz w:val="16"/>
          <w:szCs w:val="16"/>
        </w:rPr>
        <w:t xml:space="preserve">sehubungan dengan Dokumen-dokumen Proyek </w:t>
      </w:r>
      <w:r>
        <w:rPr>
          <w:rFonts w:ascii="Arial" w:hAnsi="Arial" w:cs="Arial"/>
          <w:sz w:val="16"/>
          <w:szCs w:val="16"/>
          <w:lang w:val="en-US"/>
        </w:rPr>
        <w:t>terkait</w:t>
      </w:r>
      <w:r>
        <w:rPr>
          <w:rFonts w:ascii="Arial" w:hAnsi="Arial" w:cs="Arial"/>
          <w:sz w:val="16"/>
          <w:szCs w:val="16"/>
        </w:rPr>
        <w:t xml:space="preserve">. </w:t>
      </w:r>
    </w:p>
  </w:footnote>
  <w:footnote w:id="16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Tingkat otorisasi perusahaan yang diperlukan tergantung pada yurisdiksi di mana entitas </w:t>
      </w:r>
      <w:r>
        <w:rPr>
          <w:rFonts w:ascii="Arial" w:hAnsi="Arial" w:cs="Arial"/>
          <w:sz w:val="16"/>
          <w:szCs w:val="16"/>
          <w:lang w:val="en-US"/>
        </w:rPr>
        <w:t xml:space="preserve">terkait </w:t>
      </w:r>
      <w:r>
        <w:rPr>
          <w:rFonts w:ascii="Arial" w:hAnsi="Arial" w:cs="Arial"/>
          <w:sz w:val="16"/>
          <w:szCs w:val="16"/>
        </w:rPr>
        <w:t xml:space="preserve">didirikan (dan </w:t>
      </w:r>
      <w:r>
        <w:rPr>
          <w:rFonts w:ascii="Arial" w:hAnsi="Arial" w:cs="Arial"/>
          <w:sz w:val="16"/>
          <w:szCs w:val="16"/>
          <w:lang w:val="en-US"/>
        </w:rPr>
        <w:t xml:space="preserve">juga </w:t>
      </w:r>
      <w:r>
        <w:rPr>
          <w:rFonts w:ascii="Arial" w:hAnsi="Arial" w:cs="Arial"/>
          <w:sz w:val="16"/>
          <w:szCs w:val="16"/>
        </w:rPr>
        <w:t xml:space="preserve">persyaratan undang-undang untuk persetujuan-persetujuan perusahaan). </w:t>
      </w:r>
    </w:p>
  </w:footnote>
  <w:footnote w:id="16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Salinan resmi dari otorisasi perusahaan dari Kontraktor Konstruksi, Kontraktor O&amp;</w:t>
      </w:r>
      <w:r>
        <w:rPr>
          <w:rFonts w:ascii="Arial" w:hAnsi="Arial" w:cs="Arial"/>
          <w:sz w:val="16"/>
          <w:szCs w:val="16"/>
          <w:lang w:val="en-US"/>
        </w:rPr>
        <w:t>P</w:t>
      </w:r>
      <w:r>
        <w:rPr>
          <w:rFonts w:ascii="Arial" w:hAnsi="Arial" w:cs="Arial"/>
          <w:sz w:val="16"/>
          <w:szCs w:val="16"/>
        </w:rPr>
        <w:t xml:space="preserve"> dan/atau </w:t>
      </w:r>
      <w:r>
        <w:rPr>
          <w:rFonts w:ascii="Arial" w:hAnsi="Arial" w:cs="Arial"/>
          <w:i/>
          <w:iCs/>
          <w:sz w:val="16"/>
          <w:szCs w:val="16"/>
        </w:rPr>
        <w:t>Offtaker</w:t>
      </w:r>
      <w:r>
        <w:rPr>
          <w:rFonts w:ascii="Arial" w:hAnsi="Arial" w:cs="Arial"/>
          <w:sz w:val="16"/>
          <w:szCs w:val="16"/>
        </w:rPr>
        <w:t xml:space="preserve"> </w:t>
      </w:r>
      <w:r>
        <w:rPr>
          <w:rFonts w:ascii="Arial" w:hAnsi="Arial" w:cs="Arial"/>
          <w:sz w:val="16"/>
          <w:szCs w:val="16"/>
          <w:lang w:val="en-US"/>
        </w:rPr>
        <w:t xml:space="preserve">wajib </w:t>
      </w:r>
      <w:r>
        <w:rPr>
          <w:rFonts w:ascii="Arial" w:hAnsi="Arial" w:cs="Arial"/>
          <w:sz w:val="16"/>
          <w:szCs w:val="16"/>
        </w:rPr>
        <w:t xml:space="preserve">diperoleh sebagai prasyarat pendahuluan jika perjanjian langsung dibuat </w:t>
      </w:r>
      <w:r>
        <w:rPr>
          <w:rFonts w:ascii="Arial" w:hAnsi="Arial" w:cs="Arial"/>
          <w:sz w:val="16"/>
          <w:szCs w:val="16"/>
          <w:lang w:val="en-US"/>
        </w:rPr>
        <w:t xml:space="preserve">dan ditandatangani </w:t>
      </w:r>
      <w:r>
        <w:rPr>
          <w:rFonts w:ascii="Arial" w:hAnsi="Arial" w:cs="Arial"/>
          <w:sz w:val="16"/>
          <w:szCs w:val="16"/>
        </w:rPr>
        <w:t xml:space="preserve">sehubungan dengan Dokumen-dokumen Proyek </w:t>
      </w:r>
      <w:r>
        <w:rPr>
          <w:rFonts w:ascii="Arial" w:hAnsi="Arial" w:cs="Arial"/>
          <w:sz w:val="16"/>
          <w:szCs w:val="16"/>
          <w:lang w:val="en-US"/>
        </w:rPr>
        <w:t>terkait</w:t>
      </w:r>
      <w:r>
        <w:rPr>
          <w:rFonts w:ascii="Arial" w:hAnsi="Arial" w:cs="Arial"/>
          <w:sz w:val="16"/>
          <w:szCs w:val="16"/>
        </w:rPr>
        <w:t>. [Jika tidak diberikan sebagai prasyarat pendahuluan, kemungkinan dokumen</w:t>
      </w:r>
      <w:r>
        <w:rPr>
          <w:rFonts w:ascii="Arial" w:hAnsi="Arial" w:cs="Arial"/>
          <w:sz w:val="16"/>
          <w:szCs w:val="16"/>
          <w:lang w:val="en-US"/>
        </w:rPr>
        <w:t>-</w:t>
      </w:r>
      <w:r>
        <w:rPr>
          <w:rFonts w:ascii="Arial" w:hAnsi="Arial" w:cs="Arial"/>
          <w:sz w:val="16"/>
          <w:szCs w:val="16"/>
        </w:rPr>
        <w:t>dokumen otorisasi tersebut akan diminta secara terpisah untuk tujuan mengeluarkan pendapat hukum.]</w:t>
      </w:r>
    </w:p>
  </w:footnote>
  <w:footnote w:id="16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Ruang l</w:t>
      </w:r>
      <w:r>
        <w:rPr>
          <w:rFonts w:ascii="Arial" w:hAnsi="Arial" w:cs="Arial"/>
          <w:sz w:val="16"/>
          <w:szCs w:val="16"/>
        </w:rPr>
        <w:t xml:space="preserve">ingkup </w:t>
      </w:r>
      <w:r>
        <w:rPr>
          <w:rFonts w:ascii="Arial" w:hAnsi="Arial" w:cs="Arial"/>
          <w:sz w:val="16"/>
          <w:szCs w:val="16"/>
          <w:lang w:val="en-US"/>
        </w:rPr>
        <w:t xml:space="preserve">agar menyesuaikan </w:t>
      </w:r>
      <w:r>
        <w:rPr>
          <w:rFonts w:ascii="Arial" w:hAnsi="Arial" w:cs="Arial"/>
          <w:sz w:val="16"/>
          <w:szCs w:val="16"/>
        </w:rPr>
        <w:t xml:space="preserve">dengan </w:t>
      </w:r>
      <w:r>
        <w:rPr>
          <w:rFonts w:ascii="Arial" w:hAnsi="Arial" w:cs="Arial"/>
          <w:sz w:val="16"/>
          <w:szCs w:val="16"/>
          <w:lang w:val="en-US"/>
        </w:rPr>
        <w:t xml:space="preserve">poin </w:t>
      </w:r>
      <w:r>
        <w:rPr>
          <w:rFonts w:ascii="Arial" w:hAnsi="Arial" w:cs="Arial"/>
          <w:sz w:val="16"/>
          <w:szCs w:val="16"/>
        </w:rPr>
        <w:fldChar w:fldCharType="begin"/>
      </w:r>
      <w:r>
        <w:rPr>
          <w:rFonts w:ascii="Arial" w:hAnsi="Arial" w:cs="Arial"/>
          <w:sz w:val="16"/>
          <w:szCs w:val="16"/>
        </w:rPr>
        <w:instrText xml:space="preserve"> REF _Ref36227973 \n \h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REF _Ref36227939 \n \h  \* MERGEFORMAT </w:instrText>
      </w:r>
      <w:r>
        <w:rPr>
          <w:rFonts w:ascii="Arial" w:hAnsi="Arial" w:cs="Arial"/>
          <w:sz w:val="16"/>
          <w:szCs w:val="16"/>
        </w:rPr>
        <w:fldChar w:fldCharType="separate"/>
      </w:r>
      <w:r>
        <w:rPr>
          <w:rFonts w:ascii="Arial" w:hAnsi="Arial" w:cs="Arial"/>
          <w:sz w:val="16"/>
          <w:szCs w:val="16"/>
        </w:rPr>
        <w:t>(a)</w:t>
      </w:r>
      <w:r>
        <w:rPr>
          <w:rFonts w:ascii="Arial" w:hAnsi="Arial" w:cs="Arial"/>
          <w:sz w:val="16"/>
          <w:szCs w:val="16"/>
        </w:rPr>
        <w:fldChar w:fldCharType="end"/>
      </w:r>
      <w:r>
        <w:rPr>
          <w:rFonts w:ascii="Arial" w:hAnsi="Arial" w:cs="Arial"/>
          <w:sz w:val="16"/>
          <w:szCs w:val="16"/>
        </w:rPr>
        <w:t xml:space="preserve"> dan </w:t>
      </w:r>
      <w:r>
        <w:rPr>
          <w:rFonts w:ascii="Arial" w:hAnsi="Arial" w:cs="Arial"/>
          <w:sz w:val="16"/>
          <w:szCs w:val="16"/>
          <w:lang w:val="en-US"/>
        </w:rPr>
        <w:t xml:space="preserve">poin </w:t>
      </w:r>
      <w:r>
        <w:rPr>
          <w:rFonts w:ascii="Arial" w:hAnsi="Arial" w:cs="Arial"/>
          <w:sz w:val="16"/>
          <w:szCs w:val="16"/>
        </w:rPr>
        <w:fldChar w:fldCharType="begin"/>
      </w:r>
      <w:r>
        <w:rPr>
          <w:rFonts w:ascii="Arial" w:hAnsi="Arial" w:cs="Arial"/>
          <w:sz w:val="16"/>
          <w:szCs w:val="16"/>
        </w:rPr>
        <w:instrText xml:space="preserve"> REF _Ref36227973 \n \h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REF _Ref36227967 \n \h  \* MERGEFORMAT </w:instrText>
      </w:r>
      <w:r>
        <w:rPr>
          <w:rFonts w:ascii="Arial" w:hAnsi="Arial" w:cs="Arial"/>
          <w:sz w:val="16"/>
          <w:szCs w:val="16"/>
        </w:rPr>
        <w:fldChar w:fldCharType="separate"/>
      </w:r>
      <w:r>
        <w:rPr>
          <w:rFonts w:ascii="Arial" w:hAnsi="Arial" w:cs="Arial"/>
          <w:sz w:val="16"/>
          <w:szCs w:val="16"/>
        </w:rPr>
        <w:t>(b)</w:t>
      </w:r>
      <w:r>
        <w:rPr>
          <w:rFonts w:ascii="Arial" w:hAnsi="Arial" w:cs="Arial"/>
          <w:sz w:val="16"/>
          <w:szCs w:val="16"/>
        </w:rPr>
        <w:fldChar w:fldCharType="end"/>
      </w:r>
      <w:r>
        <w:rPr>
          <w:rFonts w:ascii="Arial" w:hAnsi="Arial" w:cs="Arial"/>
          <w:sz w:val="16"/>
          <w:szCs w:val="16"/>
        </w:rPr>
        <w:t xml:space="preserve"> di</w:t>
      </w:r>
      <w:r>
        <w:rPr>
          <w:rFonts w:ascii="Arial" w:hAnsi="Arial" w:cs="Arial"/>
          <w:sz w:val="16"/>
          <w:szCs w:val="16"/>
          <w:lang w:val="en-US"/>
        </w:rPr>
        <w:t xml:space="preserve"> </w:t>
      </w:r>
      <w:r>
        <w:rPr>
          <w:rFonts w:ascii="Arial" w:hAnsi="Arial" w:cs="Arial"/>
          <w:sz w:val="16"/>
          <w:szCs w:val="16"/>
        </w:rPr>
        <w:t>atas.</w:t>
      </w:r>
    </w:p>
  </w:footnote>
  <w:footnote w:id="16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Ini akan mencakup Dokumen-dokumen Jaminan, yang pada gilirannya harus mencakup Perjanjian-Perjanjian Langsung apa pun.</w:t>
      </w:r>
    </w:p>
  </w:footnote>
  <w:footnote w:id="16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Jika otorisasi/persetujuan/izin tertentu tidak akan diperoleh sampai setelah Pemenuhan Pembiayaan, persyaratan Para Kreditur yang berkaitan dengan waktu dan proses untuk mendapatkan otorisasi tersebut harus ditetapkan. Saran dari penasihat </w:t>
      </w:r>
      <w:r>
        <w:rPr>
          <w:rFonts w:ascii="Arial" w:hAnsi="Arial" w:cs="Arial"/>
          <w:sz w:val="16"/>
          <w:szCs w:val="16"/>
          <w:lang w:val="en-US"/>
        </w:rPr>
        <w:t xml:space="preserve">hukum </w:t>
      </w:r>
      <w:r>
        <w:rPr>
          <w:rFonts w:ascii="Arial" w:hAnsi="Arial" w:cs="Arial"/>
          <w:sz w:val="16"/>
          <w:szCs w:val="16"/>
        </w:rPr>
        <w:t>lokal akan diperlukan.</w:t>
      </w:r>
    </w:p>
  </w:footnote>
  <w:footnote w:id="16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Beberapa yurisdiksi (khususnya di pasar negara berkembang) memiliki persyaratan hukum agar asuransi diambil dengan perusahaan asuransi lokal. Jika hal ini terjadi, perusahaan asuransi utama lokal biasanya akan </w:t>
      </w:r>
      <w:r>
        <w:rPr>
          <w:rFonts w:ascii="Arial" w:hAnsi="Arial" w:cs="Arial"/>
          <w:sz w:val="16"/>
          <w:szCs w:val="16"/>
          <w:lang w:val="en-US"/>
        </w:rPr>
        <w:t>melakukan re</w:t>
      </w:r>
      <w:r>
        <w:rPr>
          <w:rFonts w:ascii="Arial" w:hAnsi="Arial" w:cs="Arial"/>
          <w:sz w:val="16"/>
          <w:szCs w:val="16"/>
        </w:rPr>
        <w:t>asuransi</w:t>
      </w:r>
      <w:r>
        <w:rPr>
          <w:rFonts w:ascii="Arial" w:hAnsi="Arial" w:cs="Arial"/>
          <w:sz w:val="16"/>
          <w:szCs w:val="16"/>
          <w:lang w:val="en-US"/>
        </w:rPr>
        <w:t xml:space="preserve"> </w:t>
      </w:r>
      <w:r>
        <w:rPr>
          <w:rFonts w:ascii="Arial" w:hAnsi="Arial" w:cs="Arial"/>
          <w:sz w:val="16"/>
          <w:szCs w:val="16"/>
        </w:rPr>
        <w:t xml:space="preserve">(yaitu mengambil asuransi sendiri) karena mereka tidak akan dapat </w:t>
      </w:r>
      <w:r>
        <w:rPr>
          <w:rFonts w:ascii="Arial" w:hAnsi="Arial" w:cs="Arial"/>
          <w:sz w:val="16"/>
          <w:szCs w:val="16"/>
          <w:lang w:val="en-US"/>
        </w:rPr>
        <w:t xml:space="preserve">memperoleh </w:t>
      </w:r>
      <w:r>
        <w:rPr>
          <w:rFonts w:ascii="Arial" w:hAnsi="Arial" w:cs="Arial"/>
          <w:sz w:val="16"/>
          <w:szCs w:val="16"/>
        </w:rPr>
        <w:t xml:space="preserve">klaim besar. </w:t>
      </w:r>
    </w:p>
  </w:footnote>
  <w:footnote w:id="16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Biasanya, akan ada laporan dari masing-masing Penasihat Teknis, Penasihat Lingkungan dan Sosial, Penasihat Asuransi dan Model Auditor (dan penasihat komersial mana pun). Mungkin ada Laporan Tinjauan Hukum yang disiapkan oleh Penasihat-Penasihat Hukum.</w:t>
      </w:r>
    </w:p>
  </w:footnote>
  <w:footnote w:id="16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Hal ini biasanya memerlukan hal-hal berikut: (1) penasihat untuk Para Kreditur memberikan pendapat hukum atas Dokumen-dokumen Pembiayaan; dan (2) penasihat Perusahaan Proyek memberikan pendapat hukum tentang kapasitas/kewenangan Perusahaan Proyek dan Dokumen-dokumen Proyek utama (misalnya perjanjian jual beli listrik, perjanjian konsesi dan Kontrak Konstruksi).  </w:t>
      </w:r>
    </w:p>
  </w:footnote>
  <w:footnote w:id="16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Dokumentasi yang tercantum di sini adalah apa yang biasanya diperlukan oleh bank yang ingin memastikan bahwa suatu proyek telah sesuai dengan Prinsip-prinsip Ekuator. Lembaga Pembiayaan Pembangunan (DFI) mungkin memiliki persyaratan tambahan terkait dengan masalah lingkungan dan sosial.</w:t>
      </w:r>
    </w:p>
  </w:footnote>
  <w:footnote w:id="16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Hal-hal i</w:t>
      </w:r>
      <w:r>
        <w:rPr>
          <w:rFonts w:ascii="Arial" w:hAnsi="Arial" w:cs="Arial"/>
          <w:sz w:val="16"/>
          <w:szCs w:val="16"/>
        </w:rPr>
        <w:t>ni harus diaudit oleh Model Auditor.</w:t>
      </w:r>
    </w:p>
  </w:footnote>
  <w:footnote w:id="17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Anggaran operasional awal juga dapat dimasukkan dalam </w:t>
      </w:r>
      <w:r>
        <w:rPr>
          <w:rFonts w:ascii="Arial" w:hAnsi="Arial" w:cs="Arial"/>
          <w:i/>
          <w:iCs/>
          <w:sz w:val="16"/>
          <w:szCs w:val="16"/>
        </w:rPr>
        <w:t>Financial Model</w:t>
      </w:r>
      <w:r>
        <w:rPr>
          <w:rFonts w:ascii="Arial" w:hAnsi="Arial" w:cs="Arial"/>
          <w:sz w:val="16"/>
          <w:szCs w:val="16"/>
        </w:rPr>
        <w:t>.</w:t>
      </w:r>
    </w:p>
  </w:footnote>
  <w:footnote w:id="17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Jika Perusahaan Proyek adalah SPV (dan dengan demikian tidak memiliki rekening), Para Kreditur akan meminta </w:t>
      </w:r>
      <w:r>
        <w:rPr>
          <w:rFonts w:ascii="Arial" w:hAnsi="Arial" w:cs="Arial"/>
          <w:sz w:val="16"/>
          <w:szCs w:val="16"/>
          <w:lang w:val="en-US"/>
        </w:rPr>
        <w:t xml:space="preserve">rekening-rekening </w:t>
      </w:r>
      <w:r>
        <w:rPr>
          <w:rFonts w:ascii="Arial" w:hAnsi="Arial" w:cs="Arial"/>
          <w:sz w:val="16"/>
          <w:szCs w:val="16"/>
        </w:rPr>
        <w:t>awal (yang tidak akan diaudit) – ini mungkin hanya terdiri dari neraca pembukaan.</w:t>
      </w:r>
    </w:p>
  </w:footnote>
  <w:footnote w:id="17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Rekening-rekening untuk Sponsor-sponsor/Para Pemegang Saham dan/atau </w:t>
      </w:r>
      <w:r>
        <w:rPr>
          <w:rFonts w:ascii="Arial" w:hAnsi="Arial" w:cs="Arial"/>
          <w:sz w:val="16"/>
          <w:szCs w:val="16"/>
          <w:lang w:val="en-US"/>
        </w:rPr>
        <w:t xml:space="preserve">Para </w:t>
      </w:r>
      <w:r>
        <w:rPr>
          <w:rFonts w:ascii="Arial" w:hAnsi="Arial" w:cs="Arial"/>
          <w:sz w:val="16"/>
          <w:szCs w:val="16"/>
        </w:rPr>
        <w:t>Partisipan</w:t>
      </w:r>
      <w:r>
        <w:rPr>
          <w:rFonts w:ascii="Arial" w:hAnsi="Arial" w:cs="Arial"/>
          <w:sz w:val="16"/>
          <w:szCs w:val="16"/>
          <w:lang w:val="en-US"/>
        </w:rPr>
        <w:t xml:space="preserve"> </w:t>
      </w:r>
      <w:r>
        <w:rPr>
          <w:rFonts w:ascii="Arial" w:hAnsi="Arial" w:cs="Arial"/>
          <w:sz w:val="16"/>
          <w:szCs w:val="16"/>
        </w:rPr>
        <w:t>Proyek Utama mungkin sesuai, terutama jika jaminan, dukungan ekuitas kontinjensi, atau dukungan kredit lainnya telah diberikan.</w:t>
      </w:r>
    </w:p>
  </w:footnote>
  <w:footnote w:id="17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ab/>
      </w:r>
      <w:r>
        <w:rPr>
          <w:rFonts w:ascii="Arial" w:hAnsi="Arial" w:cs="Arial"/>
          <w:sz w:val="16"/>
          <w:szCs w:val="16"/>
        </w:rPr>
        <w:t xml:space="preserve">Relevan untuk debitur luar negeri mana pun yang perlu menunjuk agen di yurisdiksi yang dinominasikan untuk proses penegakan hukum untuk menerima </w:t>
      </w:r>
      <w:r>
        <w:rPr>
          <w:rFonts w:ascii="Arial" w:hAnsi="Arial" w:cs="Arial"/>
          <w:sz w:val="16"/>
          <w:szCs w:val="16"/>
          <w:lang w:val="en-US"/>
        </w:rPr>
        <w:t>penyampaian dokumen-dokumen pengadilan</w:t>
      </w:r>
      <w:r>
        <w:rPr>
          <w:rFonts w:ascii="Arial" w:hAnsi="Arial" w:cs="Arial"/>
          <w:sz w:val="16"/>
          <w:szCs w:val="16"/>
        </w:rPr>
        <w:t>.</w:t>
      </w:r>
    </w:p>
  </w:footnote>
  <w:footnote w:id="17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 xml:space="preserve">Hal ini </w:t>
      </w:r>
      <w:r>
        <w:rPr>
          <w:rFonts w:ascii="Arial" w:hAnsi="Arial" w:cs="Arial"/>
          <w:sz w:val="16"/>
          <w:szCs w:val="16"/>
        </w:rPr>
        <w:t>akan di</w:t>
      </w:r>
      <w:r>
        <w:rPr>
          <w:rFonts w:ascii="Arial" w:hAnsi="Arial" w:cs="Arial"/>
          <w:sz w:val="16"/>
          <w:szCs w:val="16"/>
          <w:lang w:val="en-US"/>
        </w:rPr>
        <w:t xml:space="preserve">nyatakan </w:t>
      </w:r>
      <w:r>
        <w:rPr>
          <w:rFonts w:ascii="Arial" w:hAnsi="Arial" w:cs="Arial"/>
          <w:sz w:val="16"/>
          <w:szCs w:val="16"/>
        </w:rPr>
        <w:t xml:space="preserve">oleh Debitur dan juga dapat dimasukkan dalam </w:t>
      </w:r>
      <w:r>
        <w:rPr>
          <w:rFonts w:ascii="Arial" w:hAnsi="Arial" w:cs="Arial"/>
          <w:i/>
          <w:iCs/>
          <w:sz w:val="16"/>
          <w:szCs w:val="16"/>
        </w:rPr>
        <w:t>Financial Model</w:t>
      </w:r>
      <w:r>
        <w:rPr>
          <w:rFonts w:ascii="Arial" w:hAnsi="Arial" w:cs="Arial"/>
          <w:sz w:val="16"/>
          <w:szCs w:val="16"/>
        </w:rPr>
        <w:t xml:space="preserve"> atau laporan aliran dana jika diminta oleh Para Kreditur.</w:t>
      </w:r>
    </w:p>
  </w:footnote>
  <w:footnote w:id="17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Hal i</w:t>
      </w:r>
      <w:r>
        <w:rPr>
          <w:rFonts w:ascii="Arial" w:hAnsi="Arial" w:cs="Arial"/>
          <w:sz w:val="16"/>
          <w:szCs w:val="16"/>
        </w:rPr>
        <w:t xml:space="preserve">ni mungkin tidak sesuai dalam semua keadaan dan mungkin perlu dihapus setelah prasyarat pendahuluan telah disetujui untuk menghindari penambahan </w:t>
      </w:r>
      <w:r>
        <w:rPr>
          <w:rFonts w:ascii="Arial" w:hAnsi="Arial" w:cs="Arial"/>
          <w:sz w:val="16"/>
          <w:szCs w:val="16"/>
          <w:lang w:val="en-US"/>
        </w:rPr>
        <w:t xml:space="preserve">yang tergesa-gesa atas </w:t>
      </w:r>
      <w:r>
        <w:rPr>
          <w:rFonts w:ascii="Arial" w:hAnsi="Arial" w:cs="Arial"/>
          <w:sz w:val="16"/>
          <w:szCs w:val="16"/>
        </w:rPr>
        <w:t>prasyarat pendahuluan tambahan.</w:t>
      </w:r>
    </w:p>
  </w:footnote>
  <w:footnote w:id="176">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Hal i</w:t>
      </w:r>
      <w:r>
        <w:rPr>
          <w:rFonts w:ascii="Arial" w:hAnsi="Arial" w:cs="Arial"/>
          <w:sz w:val="16"/>
          <w:szCs w:val="16"/>
        </w:rPr>
        <w:t>ni akan di</w:t>
      </w:r>
      <w:r>
        <w:rPr>
          <w:rFonts w:ascii="Arial" w:hAnsi="Arial" w:cs="Arial"/>
          <w:sz w:val="16"/>
          <w:szCs w:val="16"/>
          <w:lang w:val="en-US"/>
        </w:rPr>
        <w:t xml:space="preserve">rundingkan </w:t>
      </w:r>
      <w:r>
        <w:rPr>
          <w:rFonts w:ascii="Arial" w:hAnsi="Arial" w:cs="Arial"/>
          <w:sz w:val="16"/>
          <w:szCs w:val="16"/>
        </w:rPr>
        <w:t>berdasarkan proyek per proyek. Biasanya, satu set pernyataan</w:t>
      </w:r>
      <w:r>
        <w:rPr>
          <w:rFonts w:ascii="Arial" w:hAnsi="Arial" w:cs="Arial"/>
          <w:sz w:val="16"/>
          <w:szCs w:val="16"/>
          <w:lang w:val="en-US"/>
        </w:rPr>
        <w:t>-</w:t>
      </w:r>
      <w:r>
        <w:rPr>
          <w:rFonts w:ascii="Arial" w:hAnsi="Arial" w:cs="Arial"/>
          <w:sz w:val="16"/>
          <w:szCs w:val="16"/>
        </w:rPr>
        <w:t>pernyataan yang lebih luas di</w:t>
      </w:r>
      <w:r>
        <w:rPr>
          <w:rFonts w:ascii="Arial" w:hAnsi="Arial" w:cs="Arial"/>
          <w:sz w:val="16"/>
          <w:szCs w:val="16"/>
          <w:lang w:val="en-US"/>
        </w:rPr>
        <w:t xml:space="preserve">berikan </w:t>
      </w:r>
      <w:r>
        <w:rPr>
          <w:rFonts w:ascii="Arial" w:hAnsi="Arial" w:cs="Arial"/>
          <w:sz w:val="16"/>
          <w:szCs w:val="16"/>
        </w:rPr>
        <w:t xml:space="preserve">pada </w:t>
      </w:r>
      <w:r>
        <w:rPr>
          <w:rFonts w:ascii="Arial" w:hAnsi="Arial" w:cs="Arial"/>
          <w:sz w:val="16"/>
          <w:szCs w:val="16"/>
          <w:lang w:val="en-US"/>
        </w:rPr>
        <w:t xml:space="preserve">saat </w:t>
      </w:r>
      <w:r>
        <w:rPr>
          <w:rFonts w:ascii="Arial" w:hAnsi="Arial" w:cs="Arial"/>
          <w:sz w:val="16"/>
          <w:szCs w:val="16"/>
        </w:rPr>
        <w:t xml:space="preserve">Tanggal Penandatanganan, dengan </w:t>
      </w:r>
      <w:r>
        <w:rPr>
          <w:rFonts w:ascii="Arial" w:hAnsi="Arial" w:cs="Arial"/>
          <w:sz w:val="16"/>
          <w:szCs w:val="16"/>
          <w:lang w:val="en-US"/>
        </w:rPr>
        <w:t xml:space="preserve">satu </w:t>
      </w:r>
      <w:r>
        <w:rPr>
          <w:rFonts w:ascii="Arial" w:hAnsi="Arial" w:cs="Arial"/>
          <w:sz w:val="16"/>
          <w:szCs w:val="16"/>
        </w:rPr>
        <w:t>set yang dikurangi yang perlu diulang dari waktu ke waktu.</w:t>
      </w:r>
    </w:p>
  </w:footnote>
  <w:footnote w:id="17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Prasyarat pendahuluan khusus ini biasanya disertakan tetapi dapat ditentang oleh debitur-debitur. </w:t>
      </w:r>
      <w:r>
        <w:rPr>
          <w:rFonts w:ascii="Arial" w:hAnsi="Arial" w:cs="Arial"/>
          <w:sz w:val="16"/>
          <w:szCs w:val="16"/>
          <w:lang w:val="en-US"/>
        </w:rPr>
        <w:t>Harap dip</w:t>
      </w:r>
      <w:r>
        <w:rPr>
          <w:rFonts w:ascii="Arial" w:hAnsi="Arial" w:cs="Arial"/>
          <w:sz w:val="16"/>
          <w:szCs w:val="16"/>
        </w:rPr>
        <w:t xml:space="preserve">erhatikan bahwa tidak mencapai Tanggal Penyelesaian Proyek/Tanggal Penyelesaian Pembiayaan pada Tanggal </w:t>
      </w:r>
      <w:r>
        <w:rPr>
          <w:rFonts w:ascii="Arial" w:hAnsi="Arial" w:cs="Arial"/>
          <w:i/>
          <w:iCs/>
          <w:sz w:val="16"/>
          <w:szCs w:val="16"/>
        </w:rPr>
        <w:t>Longstop</w:t>
      </w:r>
      <w:r>
        <w:rPr>
          <w:rFonts w:ascii="Arial" w:hAnsi="Arial" w:cs="Arial"/>
          <w:sz w:val="16"/>
          <w:szCs w:val="16"/>
        </w:rPr>
        <w:t xml:space="preserve"> akan menjadi Peristiwa Cedera Janji, tetapi Prasyarat Pendahuluan ini memungkinkan </w:t>
      </w:r>
      <w:r>
        <w:rPr>
          <w:rFonts w:ascii="Arial" w:hAnsi="Arial" w:cs="Arial"/>
          <w:sz w:val="16"/>
          <w:szCs w:val="16"/>
          <w:lang w:val="en-US"/>
        </w:rPr>
        <w:t xml:space="preserve">pengujian yang melihat </w:t>
      </w:r>
      <w:r>
        <w:rPr>
          <w:rFonts w:ascii="Arial" w:hAnsi="Arial" w:cs="Arial"/>
          <w:sz w:val="16"/>
          <w:szCs w:val="16"/>
        </w:rPr>
        <w:t xml:space="preserve">ke depan daripada harus menunggu tanggal </w:t>
      </w:r>
      <w:r>
        <w:rPr>
          <w:rFonts w:ascii="Arial" w:hAnsi="Arial" w:cs="Arial"/>
          <w:i/>
          <w:iCs/>
          <w:sz w:val="16"/>
          <w:szCs w:val="16"/>
        </w:rPr>
        <w:t>longstop</w:t>
      </w:r>
      <w:r>
        <w:rPr>
          <w:rFonts w:ascii="Arial" w:hAnsi="Arial" w:cs="Arial"/>
          <w:sz w:val="16"/>
          <w:szCs w:val="16"/>
        </w:rPr>
        <w:t xml:space="preserve"> berlalu. Ada cara alternatif untuk memasukkan </w:t>
      </w:r>
      <w:r>
        <w:rPr>
          <w:rFonts w:ascii="Arial" w:hAnsi="Arial" w:cs="Arial"/>
          <w:sz w:val="16"/>
          <w:szCs w:val="16"/>
          <w:lang w:val="en-US"/>
        </w:rPr>
        <w:t xml:space="preserve">pengujian yang melihat </w:t>
      </w:r>
      <w:r>
        <w:rPr>
          <w:rFonts w:ascii="Arial" w:hAnsi="Arial" w:cs="Arial"/>
          <w:sz w:val="16"/>
          <w:szCs w:val="16"/>
        </w:rPr>
        <w:t xml:space="preserve">ke depan (misalnya mengizinkan Para Kreditur untuk meminta </w:t>
      </w:r>
      <w:r>
        <w:rPr>
          <w:rFonts w:ascii="Arial" w:hAnsi="Arial" w:cs="Arial"/>
          <w:sz w:val="16"/>
          <w:szCs w:val="16"/>
          <w:lang w:val="en-US"/>
        </w:rPr>
        <w:t xml:space="preserve">surat pernyataan </w:t>
      </w:r>
      <w:r>
        <w:rPr>
          <w:rFonts w:ascii="Arial" w:hAnsi="Arial" w:cs="Arial"/>
          <w:sz w:val="16"/>
          <w:szCs w:val="16"/>
        </w:rPr>
        <w:t xml:space="preserve">dari Perusahaan Proyek/Penasihat Teknis bahwa Tanggal Penyelesaian Proyek/Tanggal Penyelesaian Pembiayaan akan dicapai pada Tanggal </w:t>
      </w:r>
      <w:r>
        <w:rPr>
          <w:rFonts w:ascii="Arial" w:hAnsi="Arial" w:cs="Arial"/>
          <w:i/>
          <w:iCs/>
          <w:sz w:val="16"/>
          <w:szCs w:val="16"/>
        </w:rPr>
        <w:t>Longstop</w:t>
      </w:r>
      <w:r>
        <w:rPr>
          <w:rFonts w:ascii="Arial" w:hAnsi="Arial" w:cs="Arial"/>
          <w:sz w:val="16"/>
          <w:szCs w:val="16"/>
        </w:rPr>
        <w:t xml:space="preserve">).  </w:t>
      </w:r>
    </w:p>
  </w:footnote>
  <w:footnote w:id="178">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Masukkan prasyarat pendahuluan apa pun yang mungkin diperlukan untuk masing-masing fasilitas. Misalnya, fasilitas</w:t>
      </w:r>
      <w:r>
        <w:rPr>
          <w:rFonts w:ascii="Arial" w:hAnsi="Arial" w:cs="Arial"/>
          <w:sz w:val="16"/>
          <w:szCs w:val="16"/>
          <w:lang w:val="en-US"/>
        </w:rPr>
        <w:t>-</w:t>
      </w:r>
      <w:r>
        <w:rPr>
          <w:rFonts w:ascii="Arial" w:hAnsi="Arial" w:cs="Arial"/>
          <w:sz w:val="16"/>
          <w:szCs w:val="16"/>
        </w:rPr>
        <w:t>fasilitas yang didukung ECA biasanya memiliki ketentuan</w:t>
      </w:r>
      <w:r>
        <w:rPr>
          <w:rFonts w:ascii="Arial" w:hAnsi="Arial" w:cs="Arial"/>
          <w:sz w:val="16"/>
          <w:szCs w:val="16"/>
          <w:lang w:val="en-US"/>
        </w:rPr>
        <w:t>-</w:t>
      </w:r>
      <w:r>
        <w:rPr>
          <w:rFonts w:ascii="Arial" w:hAnsi="Arial" w:cs="Arial"/>
          <w:sz w:val="16"/>
          <w:szCs w:val="16"/>
        </w:rPr>
        <w:t>ketentuan pr</w:t>
      </w:r>
      <w:r>
        <w:rPr>
          <w:rFonts w:ascii="Arial" w:hAnsi="Arial" w:cs="Arial"/>
          <w:sz w:val="16"/>
          <w:szCs w:val="16"/>
          <w:lang w:val="en-US"/>
        </w:rPr>
        <w:t>a</w:t>
      </w:r>
      <w:r>
        <w:rPr>
          <w:rFonts w:ascii="Arial" w:hAnsi="Arial" w:cs="Arial"/>
          <w:sz w:val="16"/>
          <w:szCs w:val="16"/>
        </w:rPr>
        <w:t>syarat</w:t>
      </w:r>
      <w:r>
        <w:rPr>
          <w:rFonts w:ascii="Arial" w:hAnsi="Arial" w:cs="Arial"/>
          <w:sz w:val="16"/>
          <w:szCs w:val="16"/>
          <w:lang w:val="en-US"/>
        </w:rPr>
        <w:t xml:space="preserve"> </w:t>
      </w:r>
      <w:r>
        <w:rPr>
          <w:rFonts w:ascii="Arial" w:hAnsi="Arial" w:cs="Arial"/>
          <w:sz w:val="16"/>
          <w:szCs w:val="16"/>
        </w:rPr>
        <w:t>pendahuluan tambahan, yang dapat mencakup salinan faktur</w:t>
      </w:r>
      <w:r>
        <w:rPr>
          <w:rFonts w:ascii="Arial" w:hAnsi="Arial" w:cs="Arial"/>
          <w:sz w:val="16"/>
          <w:szCs w:val="16"/>
          <w:lang w:val="en-US"/>
        </w:rPr>
        <w:t>-</w:t>
      </w:r>
      <w:r>
        <w:rPr>
          <w:rFonts w:ascii="Arial" w:hAnsi="Arial" w:cs="Arial"/>
          <w:sz w:val="16"/>
          <w:szCs w:val="16"/>
        </w:rPr>
        <w:t xml:space="preserve">faktur </w:t>
      </w:r>
      <w:r>
        <w:rPr>
          <w:rFonts w:ascii="Arial" w:hAnsi="Arial" w:cs="Arial"/>
          <w:sz w:val="16"/>
          <w:szCs w:val="16"/>
          <w:lang w:val="en-US"/>
        </w:rPr>
        <w:t xml:space="preserve">terkait </w:t>
      </w:r>
      <w:r>
        <w:rPr>
          <w:rFonts w:ascii="Arial" w:hAnsi="Arial" w:cs="Arial"/>
          <w:sz w:val="16"/>
          <w:szCs w:val="16"/>
        </w:rPr>
        <w:t>dari kontraktor yang memenuhi syarat untuk biaya yang memenuhi syarat, hasil</w:t>
      </w:r>
      <w:r>
        <w:rPr>
          <w:rFonts w:ascii="Arial" w:hAnsi="Arial" w:cs="Arial"/>
          <w:sz w:val="16"/>
          <w:szCs w:val="16"/>
          <w:lang w:val="en-US"/>
        </w:rPr>
        <w:t>-</w:t>
      </w:r>
      <w:r>
        <w:rPr>
          <w:rFonts w:ascii="Arial" w:hAnsi="Arial" w:cs="Arial"/>
          <w:sz w:val="16"/>
          <w:szCs w:val="16"/>
        </w:rPr>
        <w:t xml:space="preserve">hasil </w:t>
      </w:r>
      <w:r>
        <w:rPr>
          <w:rFonts w:ascii="Arial" w:hAnsi="Arial" w:cs="Arial"/>
          <w:sz w:val="16"/>
          <w:szCs w:val="16"/>
          <w:lang w:val="en-US"/>
        </w:rPr>
        <w:t xml:space="preserve">kerja </w:t>
      </w:r>
      <w:r>
        <w:rPr>
          <w:rFonts w:ascii="Arial" w:hAnsi="Arial" w:cs="Arial"/>
          <w:sz w:val="16"/>
          <w:szCs w:val="16"/>
        </w:rPr>
        <w:t>lain</w:t>
      </w:r>
      <w:r>
        <w:rPr>
          <w:rFonts w:ascii="Arial" w:hAnsi="Arial" w:cs="Arial"/>
          <w:sz w:val="16"/>
          <w:szCs w:val="16"/>
          <w:lang w:val="en-US"/>
        </w:rPr>
        <w:t>nya</w:t>
      </w:r>
      <w:r>
        <w:rPr>
          <w:rFonts w:ascii="Arial" w:hAnsi="Arial" w:cs="Arial"/>
          <w:sz w:val="16"/>
          <w:szCs w:val="16"/>
        </w:rPr>
        <w:t xml:space="preserve"> yang disyaratkan berdasarkan kebijakan</w:t>
      </w:r>
      <w:r>
        <w:rPr>
          <w:rFonts w:ascii="Arial" w:hAnsi="Arial" w:cs="Arial"/>
          <w:sz w:val="16"/>
          <w:szCs w:val="16"/>
          <w:lang w:val="en-US"/>
        </w:rPr>
        <w:t>-</w:t>
      </w:r>
      <w:r>
        <w:rPr>
          <w:rFonts w:ascii="Arial" w:hAnsi="Arial" w:cs="Arial"/>
          <w:sz w:val="16"/>
          <w:szCs w:val="16"/>
        </w:rPr>
        <w:t>kebijakan ECA, dan prasyarat pendahuluan yang berkaitan dengan kebijakan</w:t>
      </w:r>
      <w:r>
        <w:rPr>
          <w:rFonts w:ascii="Arial" w:hAnsi="Arial" w:cs="Arial"/>
          <w:sz w:val="16"/>
          <w:szCs w:val="16"/>
          <w:lang w:val="en-US"/>
        </w:rPr>
        <w:t>-</w:t>
      </w:r>
      <w:r>
        <w:rPr>
          <w:rFonts w:ascii="Arial" w:hAnsi="Arial" w:cs="Arial"/>
          <w:sz w:val="16"/>
          <w:szCs w:val="16"/>
        </w:rPr>
        <w:t>kebijakan ECA itu sendiri yang berlaku penuh dan efek</w:t>
      </w:r>
      <w:r>
        <w:rPr>
          <w:rFonts w:ascii="Arial" w:hAnsi="Arial" w:cs="Arial"/>
          <w:sz w:val="16"/>
          <w:szCs w:val="16"/>
          <w:lang w:val="en-US"/>
        </w:rPr>
        <w:t>tif</w:t>
      </w:r>
      <w:r>
        <w:rPr>
          <w:rFonts w:ascii="Arial" w:hAnsi="Arial" w:cs="Arial"/>
          <w:sz w:val="16"/>
          <w:szCs w:val="16"/>
        </w:rPr>
        <w:t xml:space="preserve"> dan pendapat</w:t>
      </w:r>
      <w:r>
        <w:rPr>
          <w:rFonts w:ascii="Arial" w:hAnsi="Arial" w:cs="Arial"/>
          <w:sz w:val="16"/>
          <w:szCs w:val="16"/>
          <w:lang w:val="en-US"/>
        </w:rPr>
        <w:t>-</w:t>
      </w:r>
      <w:r>
        <w:rPr>
          <w:rFonts w:ascii="Arial" w:hAnsi="Arial" w:cs="Arial"/>
          <w:sz w:val="16"/>
          <w:szCs w:val="16"/>
        </w:rPr>
        <w:t>pendapa</w:t>
      </w:r>
      <w:r>
        <w:rPr>
          <w:rFonts w:ascii="Arial" w:hAnsi="Arial" w:cs="Arial"/>
          <w:sz w:val="16"/>
          <w:szCs w:val="16"/>
          <w:lang w:val="en-US"/>
        </w:rPr>
        <w:t>t</w:t>
      </w:r>
      <w:r>
        <w:rPr>
          <w:rFonts w:ascii="Arial" w:hAnsi="Arial" w:cs="Arial"/>
          <w:sz w:val="16"/>
          <w:szCs w:val="16"/>
        </w:rPr>
        <w:t xml:space="preserve"> hukum apa pun yang berkaitan dengan kebijakan</w:t>
      </w:r>
      <w:r>
        <w:rPr>
          <w:rFonts w:ascii="Arial" w:hAnsi="Arial" w:cs="Arial"/>
          <w:sz w:val="16"/>
          <w:szCs w:val="16"/>
          <w:lang w:val="en-US"/>
        </w:rPr>
        <w:t>-</w:t>
      </w:r>
      <w:r>
        <w:rPr>
          <w:rFonts w:ascii="Arial" w:hAnsi="Arial" w:cs="Arial"/>
          <w:sz w:val="16"/>
          <w:szCs w:val="16"/>
        </w:rPr>
        <w:t>kebijakan ECA tersebut.</w:t>
      </w:r>
    </w:p>
  </w:footnote>
  <w:footnote w:id="179">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Persyaratan-persyaratan ini dapat mencakup pengunaan Fasilitas-fasilitas secara </w:t>
      </w:r>
      <w:r>
        <w:rPr>
          <w:rFonts w:ascii="Arial" w:hAnsi="Arial" w:cs="Arial"/>
          <w:i/>
          <w:iCs/>
          <w:sz w:val="16"/>
          <w:szCs w:val="16"/>
        </w:rPr>
        <w:t>pro rata</w:t>
      </w:r>
      <w:r>
        <w:rPr>
          <w:rFonts w:ascii="Arial" w:hAnsi="Arial" w:cs="Arial"/>
          <w:sz w:val="16"/>
          <w:szCs w:val="16"/>
        </w:rPr>
        <w:t>.</w:t>
      </w:r>
    </w:p>
  </w:footnote>
  <w:footnote w:id="180">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Untuk informasi tentang FATCA, kami mencatat bahwa Asosiasi Pasar Pinjaman telah menerbitkan beberapa rancangan yang disarankan untuk menangani FATCA. Pada transaksi</w:t>
      </w:r>
      <w:r>
        <w:rPr>
          <w:rFonts w:ascii="Arial" w:hAnsi="Arial" w:cs="Arial"/>
          <w:sz w:val="16"/>
          <w:szCs w:val="16"/>
          <w:lang w:val="en-US"/>
        </w:rPr>
        <w:t>-</w:t>
      </w:r>
      <w:r>
        <w:rPr>
          <w:rFonts w:ascii="Arial" w:hAnsi="Arial" w:cs="Arial"/>
          <w:sz w:val="16"/>
          <w:szCs w:val="16"/>
        </w:rPr>
        <w:t xml:space="preserve">transaksi pembiayaan proyek, FATCA akan relevan jika perusahaan proyek tersebut berbadan hukum AS. Jika tidak, hampir pasti tidak akan berlaku, kecuali jika perusahaan proyek bukan SPV proyek murni, dalam hal ini analisis FATCA yang lebih dekat mungkin diperlukan.  </w:t>
      </w:r>
    </w:p>
  </w:footnote>
  <w:footnote w:id="181">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Hal-hal yang perlu diingat dalam konteks pasal peningkatan biaya termasuk yang berikut:</w:t>
      </w:r>
    </w:p>
    <w:p>
      <w:pPr>
        <w:pStyle w:val="49"/>
        <w:numPr>
          <w:ilvl w:val="0"/>
          <w:numId w:val="15"/>
        </w:numPr>
        <w:tabs>
          <w:tab w:val="left" w:pos="426"/>
        </w:tabs>
        <w:spacing w:after="60"/>
        <w:ind w:left="851" w:hanging="401"/>
        <w:rPr>
          <w:rFonts w:ascii="Arial" w:hAnsi="Arial" w:cs="Arial"/>
          <w:sz w:val="16"/>
          <w:szCs w:val="16"/>
        </w:rPr>
      </w:pPr>
      <w:r>
        <w:rPr>
          <w:rFonts w:ascii="Arial" w:hAnsi="Arial" w:cs="Arial"/>
          <w:i/>
          <w:iCs/>
          <w:sz w:val="16"/>
          <w:szCs w:val="16"/>
        </w:rPr>
        <w:t xml:space="preserve">Dodd-Frank Act </w:t>
      </w:r>
      <w:r>
        <w:rPr>
          <w:rFonts w:ascii="Arial" w:hAnsi="Arial" w:cs="Arial"/>
          <w:sz w:val="16"/>
          <w:szCs w:val="16"/>
        </w:rPr>
        <w:t>– Para Kreditur dapat meminta agar biaya</w:t>
      </w:r>
      <w:r>
        <w:rPr>
          <w:rFonts w:ascii="Arial" w:hAnsi="Arial" w:cs="Arial"/>
          <w:sz w:val="16"/>
          <w:szCs w:val="16"/>
          <w:lang w:val="en-US"/>
        </w:rPr>
        <w:t>-</w:t>
      </w:r>
      <w:r>
        <w:rPr>
          <w:rFonts w:ascii="Arial" w:hAnsi="Arial" w:cs="Arial"/>
          <w:sz w:val="16"/>
          <w:szCs w:val="16"/>
        </w:rPr>
        <w:t xml:space="preserve">biaya </w:t>
      </w:r>
      <w:r>
        <w:rPr>
          <w:rFonts w:ascii="Arial" w:hAnsi="Arial" w:cs="Arial"/>
          <w:i/>
          <w:iCs/>
          <w:sz w:val="16"/>
          <w:szCs w:val="16"/>
        </w:rPr>
        <w:t>Dodd-Frank</w:t>
      </w:r>
      <w:r>
        <w:rPr>
          <w:rFonts w:ascii="Arial" w:hAnsi="Arial" w:cs="Arial"/>
          <w:sz w:val="16"/>
          <w:szCs w:val="16"/>
        </w:rPr>
        <w:t xml:space="preserve"> ditanggung oleh debitur;</w:t>
      </w:r>
    </w:p>
    <w:p>
      <w:pPr>
        <w:pStyle w:val="49"/>
        <w:numPr>
          <w:ilvl w:val="0"/>
          <w:numId w:val="15"/>
        </w:numPr>
        <w:tabs>
          <w:tab w:val="left" w:pos="426"/>
        </w:tabs>
        <w:spacing w:after="60"/>
        <w:ind w:left="851" w:hanging="401"/>
        <w:rPr>
          <w:rFonts w:ascii="Arial" w:hAnsi="Arial" w:cs="Arial"/>
          <w:sz w:val="16"/>
          <w:szCs w:val="16"/>
        </w:rPr>
      </w:pPr>
      <w:r>
        <w:rPr>
          <w:rFonts w:ascii="Arial" w:hAnsi="Arial" w:cs="Arial"/>
          <w:i/>
          <w:iCs/>
          <w:sz w:val="16"/>
          <w:szCs w:val="16"/>
        </w:rPr>
        <w:t>Basel II – Basel II</w:t>
      </w:r>
      <w:r>
        <w:rPr>
          <w:rFonts w:ascii="Arial" w:hAnsi="Arial" w:cs="Arial"/>
          <w:sz w:val="16"/>
          <w:szCs w:val="16"/>
        </w:rPr>
        <w:t xml:space="preserve"> difinalisasikan pada tahun 2004 dan di</w:t>
      </w:r>
      <w:r>
        <w:rPr>
          <w:rFonts w:ascii="Arial" w:hAnsi="Arial" w:cs="Arial"/>
          <w:sz w:val="16"/>
          <w:szCs w:val="16"/>
          <w:lang w:val="en-US"/>
        </w:rPr>
        <w:t xml:space="preserve">laksanakan </w:t>
      </w:r>
      <w:r>
        <w:rPr>
          <w:rFonts w:ascii="Arial" w:hAnsi="Arial" w:cs="Arial"/>
          <w:sz w:val="16"/>
          <w:szCs w:val="16"/>
        </w:rPr>
        <w:t xml:space="preserve">di Eropa selama tahun 2007 sehingga jarang dirujuk sekarang dalam pasal peningkatan biaya; and </w:t>
      </w:r>
    </w:p>
    <w:p>
      <w:pPr>
        <w:pStyle w:val="49"/>
        <w:numPr>
          <w:ilvl w:val="0"/>
          <w:numId w:val="15"/>
        </w:numPr>
        <w:tabs>
          <w:tab w:val="left" w:pos="426"/>
        </w:tabs>
        <w:spacing w:after="60"/>
        <w:ind w:left="851" w:hanging="401"/>
        <w:rPr>
          <w:rFonts w:ascii="Arial" w:hAnsi="Arial" w:cs="Arial"/>
          <w:sz w:val="16"/>
          <w:szCs w:val="16"/>
        </w:rPr>
      </w:pPr>
      <w:r>
        <w:rPr>
          <w:rFonts w:ascii="Arial" w:hAnsi="Arial" w:cs="Arial"/>
          <w:i/>
          <w:iCs/>
          <w:sz w:val="16"/>
          <w:szCs w:val="16"/>
        </w:rPr>
        <w:t>Basel III</w:t>
      </w:r>
      <w:r>
        <w:rPr>
          <w:rFonts w:ascii="Arial" w:hAnsi="Arial" w:cs="Arial"/>
          <w:sz w:val="16"/>
          <w:szCs w:val="16"/>
        </w:rPr>
        <w:t xml:space="preserve"> – ini akan menjadi masalah kesepakatan komersial apakah biaya</w:t>
      </w:r>
      <w:r>
        <w:rPr>
          <w:rFonts w:ascii="Arial" w:hAnsi="Arial" w:cs="Arial"/>
          <w:sz w:val="16"/>
          <w:szCs w:val="16"/>
          <w:lang w:val="en-US"/>
        </w:rPr>
        <w:t>-</w:t>
      </w:r>
      <w:r>
        <w:rPr>
          <w:rFonts w:ascii="Arial" w:hAnsi="Arial" w:cs="Arial"/>
          <w:sz w:val="16"/>
          <w:szCs w:val="16"/>
        </w:rPr>
        <w:t xml:space="preserve">biaya </w:t>
      </w:r>
      <w:r>
        <w:rPr>
          <w:rFonts w:ascii="Arial" w:hAnsi="Arial" w:cs="Arial"/>
          <w:i/>
          <w:iCs/>
          <w:sz w:val="16"/>
          <w:szCs w:val="16"/>
        </w:rPr>
        <w:t>Basel III</w:t>
      </w:r>
      <w:r>
        <w:rPr>
          <w:rFonts w:ascii="Arial" w:hAnsi="Arial" w:cs="Arial"/>
          <w:sz w:val="16"/>
          <w:szCs w:val="16"/>
        </w:rPr>
        <w:t xml:space="preserve"> akan ditanggung oleh debitur atau Para kreditur. Apa pun yang disepakati secara komersial, </w:t>
      </w:r>
      <w:r>
        <w:rPr>
          <w:rFonts w:ascii="Arial" w:hAnsi="Arial" w:cs="Arial"/>
          <w:sz w:val="16"/>
          <w:szCs w:val="16"/>
          <w:lang w:val="en-US"/>
        </w:rPr>
        <w:t>harus di</w:t>
      </w:r>
      <w:r>
        <w:rPr>
          <w:rFonts w:ascii="Arial" w:hAnsi="Arial" w:cs="Arial"/>
          <w:sz w:val="16"/>
          <w:szCs w:val="16"/>
        </w:rPr>
        <w:t>perhati</w:t>
      </w:r>
      <w:r>
        <w:rPr>
          <w:rFonts w:ascii="Arial" w:hAnsi="Arial" w:cs="Arial"/>
          <w:sz w:val="16"/>
          <w:szCs w:val="16"/>
          <w:lang w:val="en-US"/>
        </w:rPr>
        <w:t>k</w:t>
      </w:r>
      <w:r>
        <w:rPr>
          <w:rFonts w:ascii="Arial" w:hAnsi="Arial" w:cs="Arial"/>
          <w:sz w:val="16"/>
          <w:szCs w:val="16"/>
        </w:rPr>
        <w:t xml:space="preserve">an dalam penyusunan </w:t>
      </w:r>
      <w:r>
        <w:rPr>
          <w:rFonts w:ascii="Arial" w:hAnsi="Arial" w:cs="Arial"/>
          <w:sz w:val="16"/>
          <w:szCs w:val="16"/>
          <w:lang w:val="en-US"/>
        </w:rPr>
        <w:t xml:space="preserve">konsep </w:t>
      </w:r>
      <w:r>
        <w:rPr>
          <w:rFonts w:ascii="Arial" w:hAnsi="Arial" w:cs="Arial"/>
          <w:sz w:val="16"/>
          <w:szCs w:val="16"/>
        </w:rPr>
        <w:t>untuk memastikan hasil yang benar.</w:t>
      </w:r>
    </w:p>
  </w:footnote>
  <w:footnote w:id="182">
    <w:p>
      <w:pPr>
        <w:pStyle w:val="26"/>
        <w:tabs>
          <w:tab w:val="left" w:pos="426"/>
        </w:tabs>
        <w:spacing w:after="60"/>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Hapus yang tidak perlu.</w:t>
      </w:r>
    </w:p>
  </w:footnote>
  <w:footnote w:id="183">
    <w:p>
      <w:pPr>
        <w:pStyle w:val="26"/>
        <w:tabs>
          <w:tab w:val="left" w:pos="426"/>
        </w:tabs>
        <w:spacing w:after="60"/>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Hapus yang tidak perlu.</w:t>
      </w:r>
    </w:p>
  </w:footnote>
  <w:footnote w:id="184">
    <w:p>
      <w:pPr>
        <w:pStyle w:val="26"/>
        <w:tabs>
          <w:tab w:val="left" w:pos="426"/>
        </w:tabs>
        <w:spacing w:after="60"/>
        <w:ind w:left="426" w:hanging="426"/>
        <w:rPr>
          <w:rFonts w:ascii="Arial" w:hAnsi="Arial" w:cs="Arial"/>
          <w:iCs/>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Perselisihan yang paling kompleks atau bernilai tinggi akan cenderung didengar oleh Pengadilan arbitrase yang terdiri dari tiga orang (atau, sangat jarang, lima orang). Prasyarat untuk pencalonan seorang arbiter mungkin juga sesuai (misalnya, seorang pengacara dengan pengalaman beberapa tahun di bidang tertentu atau spesialis </w:t>
      </w:r>
      <w:r>
        <w:rPr>
          <w:rFonts w:ascii="Arial" w:hAnsi="Arial" w:cs="Arial"/>
          <w:sz w:val="16"/>
          <w:szCs w:val="16"/>
          <w:lang w:val="en-US"/>
        </w:rPr>
        <w:t>dalam bidangnya</w:t>
      </w:r>
      <w:r>
        <w:rPr>
          <w:rFonts w:ascii="Arial" w:hAnsi="Arial" w:cs="Arial"/>
          <w:sz w:val="16"/>
          <w:szCs w:val="16"/>
        </w:rPr>
        <w:t>/industri).</w:t>
      </w:r>
    </w:p>
  </w:footnote>
  <w:footnote w:id="185">
    <w:p>
      <w:pPr>
        <w:pStyle w:val="26"/>
        <w:tabs>
          <w:tab w:val="left" w:pos="426"/>
        </w:tabs>
        <w:spacing w:after="60"/>
        <w:ind w:left="426" w:hanging="426"/>
        <w:rPr>
          <w:rFonts w:ascii="Arial" w:hAnsi="Arial" w:cs="Arial"/>
          <w:sz w:val="16"/>
          <w:szCs w:val="16"/>
          <w:lang w:eastAsia="zh-CN"/>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Harap dip</w:t>
      </w:r>
      <w:r>
        <w:rPr>
          <w:rFonts w:ascii="Arial" w:hAnsi="Arial" w:cs="Arial"/>
          <w:sz w:val="16"/>
          <w:szCs w:val="16"/>
        </w:rPr>
        <w:t xml:space="preserve">ertimbangkan apakah </w:t>
      </w:r>
      <w:r>
        <w:rPr>
          <w:rFonts w:ascii="Arial" w:hAnsi="Arial" w:cs="Arial"/>
          <w:sz w:val="16"/>
          <w:szCs w:val="16"/>
          <w:lang w:val="en-US"/>
        </w:rPr>
        <w:t xml:space="preserve">sengketa </w:t>
      </w:r>
      <w:r>
        <w:rPr>
          <w:rFonts w:ascii="Arial" w:hAnsi="Arial" w:cs="Arial"/>
          <w:sz w:val="16"/>
          <w:szCs w:val="16"/>
        </w:rPr>
        <w:t xml:space="preserve">harus dirujuk ke arbitrase atau pengadilan. Para Pihak </w:t>
      </w:r>
      <w:r>
        <w:rPr>
          <w:rFonts w:ascii="Arial" w:hAnsi="Arial" w:cs="Arial"/>
          <w:sz w:val="16"/>
          <w:szCs w:val="16"/>
          <w:lang w:val="en-US"/>
        </w:rPr>
        <w:t xml:space="preserve">agar </w:t>
      </w:r>
      <w:r>
        <w:rPr>
          <w:rFonts w:ascii="Arial" w:hAnsi="Arial" w:cs="Arial"/>
          <w:sz w:val="16"/>
          <w:szCs w:val="16"/>
        </w:rPr>
        <w:t xml:space="preserve">mempertimbangkan apakah akan memasukkan langkah mediasi sebelum proses sengketa lebih lanjut dan, jika demikian, </w:t>
      </w:r>
      <w:r>
        <w:rPr>
          <w:rFonts w:ascii="Arial" w:hAnsi="Arial" w:cs="Arial"/>
          <w:sz w:val="16"/>
          <w:szCs w:val="16"/>
          <w:lang w:val="en-US"/>
        </w:rPr>
        <w:t xml:space="preserve">agar </w:t>
      </w:r>
      <w:r>
        <w:rPr>
          <w:rFonts w:ascii="Arial" w:hAnsi="Arial" w:cs="Arial"/>
          <w:sz w:val="16"/>
          <w:szCs w:val="16"/>
        </w:rPr>
        <w:t xml:space="preserve">mengubah Pasal ini untuk mencerminkan kesepakatan (misalnya apakah jalan lain untuk mediasi tersebut wajib dan dengan demikian merupakan prasyarat untuk </w:t>
      </w:r>
      <w:r>
        <w:rPr>
          <w:rFonts w:ascii="Arial" w:hAnsi="Arial" w:cs="Arial"/>
          <w:sz w:val="16"/>
          <w:szCs w:val="16"/>
          <w:lang w:val="en-US"/>
        </w:rPr>
        <w:t xml:space="preserve">melanjutkan ke </w:t>
      </w:r>
      <w:r>
        <w:rPr>
          <w:rFonts w:ascii="Arial" w:hAnsi="Arial" w:cs="Arial"/>
          <w:sz w:val="16"/>
          <w:szCs w:val="16"/>
        </w:rPr>
        <w:t xml:space="preserve">proses </w:t>
      </w:r>
      <w:r>
        <w:rPr>
          <w:rFonts w:ascii="Arial" w:hAnsi="Arial" w:cs="Arial"/>
          <w:sz w:val="16"/>
          <w:szCs w:val="16"/>
          <w:lang w:val="en-US"/>
        </w:rPr>
        <w:t>pengadilan selanjutnya terkait sengketa</w:t>
      </w:r>
      <w:r>
        <w:rPr>
          <w:rFonts w:ascii="Arial" w:hAnsi="Arial" w:cs="Arial"/>
          <w:sz w:val="16"/>
          <w:szCs w:val="16"/>
        </w:rPr>
        <w:t xml:space="preserve">). Jika para pihak setuju untuk </w:t>
      </w:r>
      <w:r>
        <w:rPr>
          <w:rFonts w:ascii="Arial" w:hAnsi="Arial" w:cs="Arial"/>
          <w:sz w:val="16"/>
          <w:szCs w:val="16"/>
          <w:lang w:val="en-US"/>
        </w:rPr>
        <w:t xml:space="preserve">melakukan </w:t>
      </w:r>
      <w:r>
        <w:rPr>
          <w:rFonts w:ascii="Arial" w:hAnsi="Arial" w:cs="Arial"/>
          <w:sz w:val="16"/>
          <w:szCs w:val="16"/>
        </w:rPr>
        <w:t>mediasi, satu pendekatan adalah dengan memasukkan klausul model pada SIAC-SIMC Arb-Med-Arb Protocol – informasi lebih lanjut tentang Protokol AMA, termasuk klaus</w:t>
      </w:r>
      <w:r>
        <w:rPr>
          <w:rFonts w:hint="default" w:ascii="Arial" w:hAnsi="Arial" w:cs="Arial"/>
          <w:sz w:val="16"/>
          <w:szCs w:val="16"/>
          <w:lang w:val="en-US"/>
        </w:rPr>
        <w:t>ul</w:t>
      </w:r>
      <w:bookmarkStart w:id="325" w:name="_GoBack"/>
      <w:bookmarkEnd w:id="325"/>
      <w:r>
        <w:rPr>
          <w:rFonts w:ascii="Arial" w:hAnsi="Arial" w:cs="Arial"/>
          <w:sz w:val="16"/>
          <w:szCs w:val="16"/>
        </w:rPr>
        <w:t xml:space="preserve"> model, dapat ditemukan di sini: https://simc .com.sg/dispute-resolusi/arb-med-arb/</w:t>
      </w:r>
      <w:r>
        <w:rPr>
          <w:rFonts w:ascii="Arial" w:hAnsi="Arial" w:cs="Arial"/>
          <w:sz w:val="16"/>
          <w:szCs w:val="16"/>
          <w:lang w:val="en-US"/>
        </w:rPr>
        <w:t>.</w:t>
      </w:r>
      <w:r>
        <w:rPr>
          <w:rFonts w:ascii="Arial" w:hAnsi="Arial" w:cs="Arial"/>
          <w:sz w:val="16"/>
          <w:szCs w:val="16"/>
          <w:lang w:val="en-SG" w:eastAsia="zh-CN"/>
        </w:rPr>
        <w:t xml:space="preserve"> </w:t>
      </w:r>
    </w:p>
  </w:footnote>
  <w:footnote w:id="186">
    <w:p>
      <w:pPr>
        <w:pStyle w:val="26"/>
        <w:tabs>
          <w:tab w:val="left" w:pos="426"/>
        </w:tabs>
        <w:spacing w:after="60"/>
        <w:ind w:left="426" w:hanging="426"/>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Hanya definisi-definisi penting yang harus dimasukkan dalam daftar ketentuan. Definisi-definisi lainnya dapat dimasukkan secara lengkap dalam dokumen-dokumen terkait.</w:t>
      </w:r>
    </w:p>
  </w:footnote>
  <w:footnote w:id="187">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Para Pihak mungkin ingin mempertimbangkan apakah jumlah yang dikeluarkan atau diproyeksikan akan dikeluarkan dari MRA ke Rekening Operasional pada periode </w:t>
      </w:r>
      <w:r>
        <w:rPr>
          <w:rFonts w:ascii="Arial" w:hAnsi="Arial" w:cs="Arial"/>
          <w:sz w:val="16"/>
          <w:szCs w:val="16"/>
          <w:lang w:val="en-US"/>
        </w:rPr>
        <w:t>terkait</w:t>
      </w:r>
      <w:r>
        <w:rPr>
          <w:rFonts w:ascii="Arial" w:hAnsi="Arial" w:cs="Arial"/>
          <w:sz w:val="16"/>
          <w:szCs w:val="16"/>
        </w:rPr>
        <w:t>, se</w:t>
      </w:r>
      <w:r>
        <w:rPr>
          <w:rFonts w:ascii="Arial" w:hAnsi="Arial" w:cs="Arial"/>
          <w:sz w:val="16"/>
          <w:szCs w:val="16"/>
          <w:lang w:val="en-US"/>
        </w:rPr>
        <w:t xml:space="preserve">panjang </w:t>
      </w:r>
      <w:r>
        <w:rPr>
          <w:rFonts w:ascii="Arial" w:hAnsi="Arial" w:cs="Arial"/>
          <w:sz w:val="16"/>
          <w:szCs w:val="16"/>
        </w:rPr>
        <w:t>pelepasan tersebut di</w:t>
      </w:r>
      <w:r>
        <w:rPr>
          <w:rFonts w:ascii="Arial" w:hAnsi="Arial" w:cs="Arial"/>
          <w:sz w:val="16"/>
          <w:szCs w:val="16"/>
          <w:lang w:val="en-US"/>
        </w:rPr>
        <w:t xml:space="preserve">perbolehkan </w:t>
      </w:r>
      <w:r>
        <w:rPr>
          <w:rFonts w:ascii="Arial" w:hAnsi="Arial" w:cs="Arial"/>
          <w:sz w:val="16"/>
          <w:szCs w:val="16"/>
        </w:rPr>
        <w:t xml:space="preserve">sesuai dengan Dokumen-dokumen Pembiayaan, harus dimasukkan di sini. Lihat ayat </w:t>
      </w:r>
      <w:r>
        <w:rPr>
          <w:rFonts w:ascii="Arial" w:hAnsi="Arial" w:cs="Arial"/>
          <w:sz w:val="16"/>
          <w:szCs w:val="16"/>
        </w:rPr>
        <w:fldChar w:fldCharType="begin"/>
      </w:r>
      <w:r>
        <w:rPr>
          <w:rFonts w:ascii="Arial" w:hAnsi="Arial" w:cs="Arial"/>
          <w:sz w:val="16"/>
          <w:szCs w:val="16"/>
        </w:rPr>
        <w:instrText xml:space="preserve"> REF _Ref57578042 \r \h  \* MERGEFORMAT </w:instrText>
      </w:r>
      <w:r>
        <w:rPr>
          <w:rFonts w:ascii="Arial" w:hAnsi="Arial" w:cs="Arial"/>
          <w:sz w:val="16"/>
          <w:szCs w:val="16"/>
        </w:rPr>
        <w:fldChar w:fldCharType="separate"/>
      </w:r>
      <w:r>
        <w:rPr>
          <w:rFonts w:ascii="Arial" w:hAnsi="Arial" w:cs="Arial"/>
          <w:sz w:val="16"/>
          <w:szCs w:val="16"/>
        </w:rPr>
        <w:t>(b)(iii)</w:t>
      </w:r>
      <w:r>
        <w:rPr>
          <w:rFonts w:ascii="Arial" w:hAnsi="Arial" w:cs="Arial"/>
          <w:sz w:val="16"/>
          <w:szCs w:val="16"/>
        </w:rPr>
        <w:fldChar w:fldCharType="end"/>
      </w:r>
      <w:r>
        <w:rPr>
          <w:rFonts w:ascii="Arial" w:hAnsi="Arial" w:cs="Arial"/>
          <w:sz w:val="16"/>
          <w:szCs w:val="16"/>
        </w:rPr>
        <w:t xml:space="preserve"> dari definisi. </w:t>
      </w:r>
    </w:p>
  </w:footnote>
  <w:footnote w:id="188">
    <w:p>
      <w:pPr>
        <w:pStyle w:val="26"/>
        <w:tabs>
          <w:tab w:val="left" w:pos="426"/>
          <w:tab w:val="clear" w:pos="113"/>
        </w:tabs>
        <w:spacing w:after="60"/>
        <w:ind w:left="450" w:hanging="450"/>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 xml:space="preserve">Masukkan </w:t>
      </w:r>
      <w:r>
        <w:rPr>
          <w:rFonts w:ascii="Arial" w:hAnsi="Arial" w:cs="Arial"/>
          <w:sz w:val="16"/>
          <w:szCs w:val="16"/>
        </w:rPr>
        <w:t>jika fasilitas</w:t>
      </w:r>
      <w:r>
        <w:rPr>
          <w:rFonts w:ascii="Arial" w:hAnsi="Arial" w:cs="Arial"/>
          <w:sz w:val="16"/>
          <w:szCs w:val="16"/>
          <w:lang w:val="en-US"/>
        </w:rPr>
        <w:t>-</w:t>
      </w:r>
      <w:r>
        <w:rPr>
          <w:rFonts w:ascii="Arial" w:hAnsi="Arial" w:cs="Arial"/>
          <w:sz w:val="16"/>
          <w:szCs w:val="16"/>
        </w:rPr>
        <w:t xml:space="preserve">fasilitas dalam mata uang selain dolar Singapura. Masukkan pusat keuangan utama mata uang tersebut. </w:t>
      </w:r>
      <w:r>
        <w:rPr>
          <w:rFonts w:ascii="Arial" w:hAnsi="Arial" w:cs="Arial"/>
          <w:sz w:val="16"/>
          <w:szCs w:val="16"/>
          <w:lang w:val="en-US"/>
        </w:rPr>
        <w:t>Harap dip</w:t>
      </w:r>
      <w:r>
        <w:rPr>
          <w:rFonts w:ascii="Arial" w:hAnsi="Arial" w:cs="Arial"/>
          <w:sz w:val="16"/>
          <w:szCs w:val="16"/>
        </w:rPr>
        <w:t>ertimbangkan apakah definisi "Hari Kerja" yang berbeda diperlukan untuk fasilitas</w:t>
      </w:r>
      <w:r>
        <w:rPr>
          <w:rFonts w:ascii="Arial" w:hAnsi="Arial" w:cs="Arial"/>
          <w:sz w:val="16"/>
          <w:szCs w:val="16"/>
          <w:lang w:val="en-US"/>
        </w:rPr>
        <w:t>-</w:t>
      </w:r>
      <w:r>
        <w:rPr>
          <w:rFonts w:ascii="Arial" w:hAnsi="Arial" w:cs="Arial"/>
          <w:sz w:val="16"/>
          <w:szCs w:val="16"/>
        </w:rPr>
        <w:t>fasilitas yang berbeda.</w:t>
      </w:r>
    </w:p>
  </w:footnote>
  <w:footnote w:id="189">
    <w:p>
      <w:pPr>
        <w:pStyle w:val="26"/>
        <w:tabs>
          <w:tab w:val="left" w:pos="426"/>
          <w:tab w:val="clear" w:pos="113"/>
        </w:tabs>
        <w:spacing w:after="60"/>
        <w:ind w:left="450" w:hanging="450"/>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Harap diperbarui seperlunya untuk mencerminkan Periode Perhitungan terkait dan jadwal amortisasi (misalnya jika Periode Perhitungan adalah 12 bulan dan Tanggal-tanggal Pembayaran Kembali adalah setengah tahunan, ini akan menjadi Tanggal Perhitungan kedua segera setelah Tanggal Perhitungan tersebut).</w:t>
      </w:r>
    </w:p>
  </w:footnote>
  <w:footnote w:id="190">
    <w:p>
      <w:pPr>
        <w:pStyle w:val="26"/>
        <w:tabs>
          <w:tab w:val="left" w:pos="426"/>
          <w:tab w:val="clear" w:pos="113"/>
        </w:tabs>
        <w:spacing w:after="60"/>
        <w:ind w:left="450" w:hanging="450"/>
        <w:rPr>
          <w:rFonts w:ascii="Arial" w:hAnsi="Arial" w:cs="Arial"/>
          <w:sz w:val="16"/>
          <w:szCs w:val="16"/>
          <w:lang w:val="en-US"/>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Harap dipertimbangkan apakah akan ditentukan di sini alih-alih di bagian Rasio-rasio: "termasuk jumlah-jumlah yang harus dibayar sehubungan dengan Fasilitas Modal Kerja (sepanjang tidak tersedia untuk ditarik kembali)"</w:t>
      </w:r>
      <w:r>
        <w:rPr>
          <w:rFonts w:ascii="Arial" w:hAnsi="Arial" w:cs="Arial"/>
          <w:sz w:val="16"/>
          <w:szCs w:val="16"/>
        </w:rPr>
        <w:t xml:space="preserve">. </w:t>
      </w:r>
    </w:p>
  </w:footnote>
  <w:footnote w:id="191">
    <w:p>
      <w:pPr>
        <w:pStyle w:val="26"/>
        <w:tabs>
          <w:tab w:val="left" w:pos="426"/>
          <w:tab w:val="clear" w:pos="113"/>
        </w:tabs>
        <w:spacing w:after="60"/>
        <w:ind w:left="450" w:hanging="450"/>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Perumusan rasio</w:t>
      </w:r>
      <w:r>
        <w:rPr>
          <w:rFonts w:ascii="Arial" w:hAnsi="Arial" w:cs="Arial"/>
          <w:sz w:val="16"/>
          <w:szCs w:val="16"/>
          <w:lang w:val="en-US"/>
        </w:rPr>
        <w:t>-</w:t>
      </w:r>
      <w:r>
        <w:rPr>
          <w:rFonts w:ascii="Arial" w:hAnsi="Arial" w:cs="Arial"/>
          <w:sz w:val="16"/>
          <w:szCs w:val="16"/>
        </w:rPr>
        <w:t xml:space="preserve">rasio akan tergantung pada proyek tertentu. Tingkat diskonto yang digunakan dalam perhitungan NPV harus mencerminkan risiko aliran pendapatan proyek yang tidak timbul. Oleh karena itu, tingkat diskonto tipikal adalah bunga yang dibebankan oleh para kreditur (karena ini, melalui margin, menggabungkan pandangan para kreditur tentang risiko proyek). Jika ini adalah pendekatan yang disepakati, dan lindung nilai suku bunga digunakan, maka tingkat diskonto umumnya akan mencerminkan pendanaan suku bunga tetap efektif yang dicapai melalui </w:t>
      </w:r>
      <w:r>
        <w:rPr>
          <w:rFonts w:ascii="Arial" w:hAnsi="Arial" w:cs="Arial"/>
          <w:i/>
          <w:iCs/>
          <w:sz w:val="16"/>
          <w:szCs w:val="16"/>
        </w:rPr>
        <w:t>swap</w:t>
      </w:r>
      <w:r>
        <w:rPr>
          <w:rFonts w:ascii="Arial" w:hAnsi="Arial" w:cs="Arial"/>
          <w:sz w:val="16"/>
          <w:szCs w:val="16"/>
        </w:rPr>
        <w:t xml:space="preserve"> suku bunga.</w:t>
      </w:r>
    </w:p>
  </w:footnote>
  <w:footnote w:id="192">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Ini mengacu pada biaya-biaya (jika ada) yang telah dikeluarkan oleh sponsor-sponsor dalam mengembangkan Proyek hingga saat ini dan yang harus diperhitungkan dalam pembiayaan. Jika sponsor-sponsor akan 'diberi kredit' untuk biaya</w:t>
      </w:r>
      <w:r>
        <w:rPr>
          <w:rFonts w:ascii="Arial" w:hAnsi="Arial" w:cs="Arial"/>
          <w:sz w:val="16"/>
          <w:szCs w:val="16"/>
          <w:lang w:val="en-US"/>
        </w:rPr>
        <w:t>-biaya terdahulu</w:t>
      </w:r>
      <w:r>
        <w:rPr>
          <w:rFonts w:ascii="Arial" w:hAnsi="Arial" w:cs="Arial"/>
          <w:sz w:val="16"/>
          <w:szCs w:val="16"/>
        </w:rPr>
        <w:t>, Para Kreditur akan meminta sponsor-sponsor untuk memberikan bukti yang memuaskan tentang jumlah yang di</w:t>
      </w:r>
      <w:r>
        <w:rPr>
          <w:rFonts w:ascii="Arial" w:hAnsi="Arial" w:cs="Arial"/>
          <w:sz w:val="16"/>
          <w:szCs w:val="16"/>
          <w:lang w:val="en-US"/>
        </w:rPr>
        <w:t xml:space="preserve">keluarkan </w:t>
      </w:r>
      <w:r>
        <w:rPr>
          <w:rFonts w:ascii="Arial" w:hAnsi="Arial" w:cs="Arial"/>
          <w:sz w:val="16"/>
          <w:szCs w:val="16"/>
        </w:rPr>
        <w:t>dan bagaimana jumlah</w:t>
      </w:r>
      <w:r>
        <w:rPr>
          <w:rFonts w:ascii="Arial" w:hAnsi="Arial" w:cs="Arial"/>
          <w:sz w:val="16"/>
          <w:szCs w:val="16"/>
          <w:lang w:val="en-US"/>
        </w:rPr>
        <w:t>-</w:t>
      </w:r>
      <w:r>
        <w:rPr>
          <w:rFonts w:ascii="Arial" w:hAnsi="Arial" w:cs="Arial"/>
          <w:sz w:val="16"/>
          <w:szCs w:val="16"/>
        </w:rPr>
        <w:t>jumlah tersebut telah di</w:t>
      </w:r>
      <w:r>
        <w:rPr>
          <w:rFonts w:ascii="Arial" w:hAnsi="Arial" w:cs="Arial"/>
          <w:sz w:val="16"/>
          <w:szCs w:val="16"/>
          <w:lang w:val="en-US"/>
        </w:rPr>
        <w:t>guna</w:t>
      </w:r>
      <w:r>
        <w:rPr>
          <w:rFonts w:ascii="Arial" w:hAnsi="Arial" w:cs="Arial"/>
          <w:sz w:val="16"/>
          <w:szCs w:val="16"/>
        </w:rPr>
        <w:t>kan.</w:t>
      </w:r>
    </w:p>
  </w:footnote>
  <w:footnote w:id="193">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Hal i</w:t>
      </w:r>
      <w:r>
        <w:rPr>
          <w:rFonts w:ascii="Arial" w:hAnsi="Arial" w:cs="Arial"/>
          <w:sz w:val="16"/>
          <w:szCs w:val="16"/>
        </w:rPr>
        <w:t>ni dapat dimasukkan ke dalam pengeluaran modal/biaya</w:t>
      </w:r>
      <w:r>
        <w:rPr>
          <w:rFonts w:ascii="Arial" w:hAnsi="Arial" w:cs="Arial"/>
          <w:sz w:val="16"/>
          <w:szCs w:val="16"/>
          <w:lang w:val="en-US"/>
        </w:rPr>
        <w:t>-</w:t>
      </w:r>
      <w:r>
        <w:rPr>
          <w:rFonts w:ascii="Arial" w:hAnsi="Arial" w:cs="Arial"/>
          <w:sz w:val="16"/>
          <w:szCs w:val="16"/>
        </w:rPr>
        <w:t>biaya konstruksi.</w:t>
      </w:r>
    </w:p>
  </w:footnote>
  <w:footnote w:id="194">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Istilah "Biaya</w:t>
      </w:r>
      <w:r>
        <w:rPr>
          <w:rFonts w:ascii="Arial" w:hAnsi="Arial" w:cs="Arial"/>
          <w:sz w:val="16"/>
          <w:szCs w:val="16"/>
          <w:lang w:val="en-US"/>
        </w:rPr>
        <w:t>-b</w:t>
      </w:r>
      <w:r>
        <w:rPr>
          <w:rFonts w:ascii="Arial" w:hAnsi="Arial" w:cs="Arial"/>
          <w:sz w:val="16"/>
          <w:szCs w:val="16"/>
        </w:rPr>
        <w:t xml:space="preserve">iaya pembiayaan" sering digunakan sebagai istilah yang didefinisikan dalam Dokumen-dokumen Pembiayaan yang dapat didefinisikan secara berbeda (misalnya tidak termasuk biaya </w:t>
      </w:r>
      <w:r>
        <w:rPr>
          <w:rFonts w:ascii="Arial" w:hAnsi="Arial" w:cs="Arial"/>
          <w:sz w:val="16"/>
          <w:szCs w:val="16"/>
          <w:lang w:val="en-US"/>
        </w:rPr>
        <w:t xml:space="preserve">pembuatan dan penandatanganan </w:t>
      </w:r>
      <w:r>
        <w:rPr>
          <w:rFonts w:ascii="Arial" w:hAnsi="Arial" w:cs="Arial"/>
          <w:sz w:val="16"/>
          <w:szCs w:val="16"/>
        </w:rPr>
        <w:t>perjanjian</w:t>
      </w:r>
      <w:r>
        <w:rPr>
          <w:rFonts w:ascii="Arial" w:hAnsi="Arial" w:cs="Arial"/>
          <w:sz w:val="16"/>
          <w:szCs w:val="16"/>
          <w:lang w:val="en-US"/>
        </w:rPr>
        <w:t>-</w:t>
      </w:r>
      <w:r>
        <w:rPr>
          <w:rFonts w:ascii="Arial" w:hAnsi="Arial" w:cs="Arial"/>
          <w:sz w:val="16"/>
          <w:szCs w:val="16"/>
        </w:rPr>
        <w:t>perjanjian lindung nilai) tetapi di sini hanya mengacu pada biaya</w:t>
      </w:r>
      <w:r>
        <w:rPr>
          <w:rFonts w:ascii="Arial" w:hAnsi="Arial" w:cs="Arial"/>
          <w:sz w:val="16"/>
          <w:szCs w:val="16"/>
          <w:lang w:val="en-US"/>
        </w:rPr>
        <w:t>-</w:t>
      </w:r>
      <w:r>
        <w:rPr>
          <w:rFonts w:ascii="Arial" w:hAnsi="Arial" w:cs="Arial"/>
          <w:sz w:val="16"/>
          <w:szCs w:val="16"/>
        </w:rPr>
        <w:t>biaya terkait pembiayaan yang tidak tercakup dalam judul</w:t>
      </w:r>
      <w:r>
        <w:rPr>
          <w:rFonts w:ascii="Arial" w:hAnsi="Arial" w:cs="Arial"/>
          <w:sz w:val="16"/>
          <w:szCs w:val="16"/>
          <w:lang w:val="en-US"/>
        </w:rPr>
        <w:t>-</w:t>
      </w:r>
      <w:r>
        <w:rPr>
          <w:rFonts w:ascii="Arial" w:hAnsi="Arial" w:cs="Arial"/>
          <w:sz w:val="16"/>
          <w:szCs w:val="16"/>
        </w:rPr>
        <w:t>judul lain.</w:t>
      </w:r>
    </w:p>
  </w:footnote>
  <w:footnote w:id="195">
    <w:p>
      <w:pPr>
        <w:pStyle w:val="26"/>
        <w:tabs>
          <w:tab w:val="left" w:pos="426"/>
        </w:tabs>
        <w:spacing w:after="60"/>
        <w:ind w:left="426" w:hanging="426"/>
        <w:rPr>
          <w:rFonts w:ascii="Arial" w:hAnsi="Arial" w:cs="Arial"/>
          <w:sz w:val="16"/>
          <w:szCs w:val="16"/>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Rekening-rekening cadangan mungkin diperlukan untuk didanai penuh pada awal periode operasional, dalam hal ini biaya untuk melakukannya harus dimasukkan dalam anggaran biaya proyek. Jika rekening-rekening cadangan akan didanai dengan </w:t>
      </w:r>
      <w:r>
        <w:rPr>
          <w:rFonts w:ascii="Arial" w:hAnsi="Arial" w:cs="Arial"/>
          <w:i/>
          <w:iCs/>
          <w:sz w:val="16"/>
          <w:szCs w:val="16"/>
        </w:rPr>
        <w:t>letter of credit</w:t>
      </w:r>
      <w:r>
        <w:rPr>
          <w:rFonts w:ascii="Arial" w:hAnsi="Arial" w:cs="Arial"/>
          <w:sz w:val="16"/>
          <w:szCs w:val="16"/>
        </w:rPr>
        <w:t xml:space="preserve"> (L/Cs) daripada uang tunai, biaya L/C akan disertakan di sini. Catatan</w:t>
      </w:r>
      <w:r>
        <w:rPr>
          <w:rFonts w:ascii="Arial" w:hAnsi="Arial" w:cs="Arial"/>
          <w:sz w:val="16"/>
          <w:szCs w:val="16"/>
          <w:lang w:val="en-US"/>
        </w:rPr>
        <w:t>-c</w:t>
      </w:r>
      <w:r>
        <w:rPr>
          <w:rFonts w:ascii="Arial" w:hAnsi="Arial" w:cs="Arial"/>
          <w:sz w:val="16"/>
          <w:szCs w:val="16"/>
        </w:rPr>
        <w:t xml:space="preserve">atatan </w:t>
      </w:r>
      <w:r>
        <w:rPr>
          <w:rFonts w:ascii="Arial" w:hAnsi="Arial" w:cs="Arial"/>
          <w:sz w:val="16"/>
          <w:szCs w:val="16"/>
          <w:lang w:val="en-US"/>
        </w:rPr>
        <w:t xml:space="preserve">yang </w:t>
      </w:r>
      <w:r>
        <w:rPr>
          <w:rFonts w:ascii="Arial" w:hAnsi="Arial" w:cs="Arial"/>
          <w:sz w:val="16"/>
          <w:szCs w:val="16"/>
        </w:rPr>
        <w:t xml:space="preserve">lebih rinci tentang rekening-rekening cadangan dapat ditemukan di bagian </w:t>
      </w:r>
      <w:r>
        <w:rPr>
          <w:rFonts w:ascii="Arial" w:hAnsi="Arial" w:cs="Arial"/>
          <w:i/>
          <w:iCs/>
          <w:sz w:val="16"/>
          <w:szCs w:val="16"/>
        </w:rPr>
        <w:t>Rekening-Rekening Proyek</w:t>
      </w:r>
      <w:r>
        <w:rPr>
          <w:rFonts w:ascii="Arial" w:hAnsi="Arial" w:cs="Arial"/>
          <w:sz w:val="16"/>
          <w:szCs w:val="16"/>
        </w:rPr>
        <w:t xml:space="preserve"> dari Daftar Ketentuan ini.</w:t>
      </w:r>
    </w:p>
  </w:footnote>
  <w:footnote w:id="196">
    <w:p>
      <w:pPr>
        <w:pStyle w:val="26"/>
        <w:tabs>
          <w:tab w:val="left" w:pos="426"/>
        </w:tabs>
        <w:spacing w:after="60"/>
        <w:ind w:left="426" w:hanging="426"/>
        <w:rPr>
          <w:rFonts w:ascii="Arial" w:hAnsi="Arial" w:cs="Arial"/>
          <w:sz w:val="16"/>
          <w:szCs w:val="16"/>
          <w:lang w:eastAsia="zh-CN"/>
        </w:rPr>
      </w:pPr>
      <w:r>
        <w:rPr>
          <w:rStyle w:val="25"/>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Bagan yang disertakan dalam bagian ini murni untuk tujuan ilustrasi dan harus disesuaikan untuk mencerminkan struktur kepemilikan saham dari proyek </w:t>
      </w:r>
      <w:r>
        <w:rPr>
          <w:rFonts w:ascii="Arial" w:hAnsi="Arial" w:cs="Arial"/>
          <w:sz w:val="16"/>
          <w:szCs w:val="16"/>
          <w:lang w:val="en-US"/>
        </w:rPr>
        <w:t>terkait</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sz w:val="20"/>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C23CD"/>
    <w:multiLevelType w:val="multilevel"/>
    <w:tmpl w:val="003C23CD"/>
    <w:lvl w:ilvl="0" w:tentative="0">
      <w:start w:val="1"/>
      <w:numFmt w:val="decimal"/>
      <w:lvlText w:val="(%1)"/>
      <w:lvlJc w:val="left"/>
      <w:pPr>
        <w:ind w:left="1146" w:hanging="360"/>
      </w:pPr>
      <w:rPr>
        <w:rFonts w:hint="default"/>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
    <w:nsid w:val="017F1CAB"/>
    <w:multiLevelType w:val="multilevel"/>
    <w:tmpl w:val="017F1CAB"/>
    <w:lvl w:ilvl="0" w:tentative="0">
      <w:start w:val="1"/>
      <w:numFmt w:val="decimal"/>
      <w:lvlText w:val="(%1)"/>
      <w:lvlJc w:val="left"/>
      <w:pPr>
        <w:ind w:left="942" w:hanging="360"/>
      </w:pPr>
      <w:rPr>
        <w:rFonts w:hint="default" w:ascii="Arial" w:hAnsi="Arial" w:cs="Arial"/>
        <w:sz w:val="16"/>
        <w:szCs w:val="16"/>
      </w:rPr>
    </w:lvl>
    <w:lvl w:ilvl="1" w:tentative="0">
      <w:start w:val="1"/>
      <w:numFmt w:val="lowerLetter"/>
      <w:lvlText w:val="%2."/>
      <w:lvlJc w:val="left"/>
      <w:pPr>
        <w:ind w:left="1662" w:hanging="360"/>
      </w:pPr>
    </w:lvl>
    <w:lvl w:ilvl="2" w:tentative="0">
      <w:start w:val="1"/>
      <w:numFmt w:val="lowerRoman"/>
      <w:lvlText w:val="%3."/>
      <w:lvlJc w:val="right"/>
      <w:pPr>
        <w:ind w:left="2382" w:hanging="180"/>
      </w:pPr>
    </w:lvl>
    <w:lvl w:ilvl="3" w:tentative="0">
      <w:start w:val="1"/>
      <w:numFmt w:val="decimal"/>
      <w:lvlText w:val="%4."/>
      <w:lvlJc w:val="left"/>
      <w:pPr>
        <w:ind w:left="3102" w:hanging="360"/>
      </w:pPr>
    </w:lvl>
    <w:lvl w:ilvl="4" w:tentative="0">
      <w:start w:val="1"/>
      <w:numFmt w:val="lowerLetter"/>
      <w:lvlText w:val="%5."/>
      <w:lvlJc w:val="left"/>
      <w:pPr>
        <w:ind w:left="3822" w:hanging="360"/>
      </w:pPr>
    </w:lvl>
    <w:lvl w:ilvl="5" w:tentative="0">
      <w:start w:val="1"/>
      <w:numFmt w:val="lowerRoman"/>
      <w:lvlText w:val="%6."/>
      <w:lvlJc w:val="right"/>
      <w:pPr>
        <w:ind w:left="4542" w:hanging="180"/>
      </w:pPr>
    </w:lvl>
    <w:lvl w:ilvl="6" w:tentative="0">
      <w:start w:val="1"/>
      <w:numFmt w:val="decimal"/>
      <w:lvlText w:val="%7."/>
      <w:lvlJc w:val="left"/>
      <w:pPr>
        <w:ind w:left="5262" w:hanging="360"/>
      </w:pPr>
    </w:lvl>
    <w:lvl w:ilvl="7" w:tentative="0">
      <w:start w:val="1"/>
      <w:numFmt w:val="lowerLetter"/>
      <w:lvlText w:val="%8."/>
      <w:lvlJc w:val="left"/>
      <w:pPr>
        <w:ind w:left="5982" w:hanging="360"/>
      </w:pPr>
    </w:lvl>
    <w:lvl w:ilvl="8" w:tentative="0">
      <w:start w:val="1"/>
      <w:numFmt w:val="lowerRoman"/>
      <w:lvlText w:val="%9."/>
      <w:lvlJc w:val="right"/>
      <w:pPr>
        <w:ind w:left="6702" w:hanging="180"/>
      </w:pPr>
    </w:lvl>
  </w:abstractNum>
  <w:abstractNum w:abstractNumId="2">
    <w:nsid w:val="06325D0D"/>
    <w:multiLevelType w:val="multilevel"/>
    <w:tmpl w:val="06325D0D"/>
    <w:lvl w:ilvl="0" w:tentative="0">
      <w:start w:val="1"/>
      <w:numFmt w:val="decimal"/>
      <w:lvlText w:val="(%1)"/>
      <w:lvlJc w:val="left"/>
      <w:pPr>
        <w:ind w:left="1060" w:hanging="360"/>
      </w:pPr>
      <w:rPr>
        <w:rFonts w:hint="default"/>
      </w:rPr>
    </w:lvl>
    <w:lvl w:ilvl="1" w:tentative="0">
      <w:start w:val="1"/>
      <w:numFmt w:val="lowerLetter"/>
      <w:lvlText w:val="%2."/>
      <w:lvlJc w:val="left"/>
      <w:pPr>
        <w:ind w:left="1780" w:hanging="360"/>
      </w:pPr>
    </w:lvl>
    <w:lvl w:ilvl="2" w:tentative="0">
      <w:start w:val="1"/>
      <w:numFmt w:val="lowerRoman"/>
      <w:lvlText w:val="%3."/>
      <w:lvlJc w:val="right"/>
      <w:pPr>
        <w:ind w:left="2500" w:hanging="180"/>
      </w:pPr>
    </w:lvl>
    <w:lvl w:ilvl="3" w:tentative="0">
      <w:start w:val="1"/>
      <w:numFmt w:val="decimal"/>
      <w:lvlText w:val="%4."/>
      <w:lvlJc w:val="left"/>
      <w:pPr>
        <w:ind w:left="3220" w:hanging="360"/>
      </w:pPr>
    </w:lvl>
    <w:lvl w:ilvl="4" w:tentative="0">
      <w:start w:val="1"/>
      <w:numFmt w:val="lowerLetter"/>
      <w:lvlText w:val="%5."/>
      <w:lvlJc w:val="left"/>
      <w:pPr>
        <w:ind w:left="3940" w:hanging="360"/>
      </w:pPr>
    </w:lvl>
    <w:lvl w:ilvl="5" w:tentative="0">
      <w:start w:val="1"/>
      <w:numFmt w:val="lowerRoman"/>
      <w:lvlText w:val="%6."/>
      <w:lvlJc w:val="right"/>
      <w:pPr>
        <w:ind w:left="4660" w:hanging="180"/>
      </w:pPr>
    </w:lvl>
    <w:lvl w:ilvl="6" w:tentative="0">
      <w:start w:val="1"/>
      <w:numFmt w:val="decimal"/>
      <w:lvlText w:val="%7."/>
      <w:lvlJc w:val="left"/>
      <w:pPr>
        <w:ind w:left="5380" w:hanging="360"/>
      </w:pPr>
    </w:lvl>
    <w:lvl w:ilvl="7" w:tentative="0">
      <w:start w:val="1"/>
      <w:numFmt w:val="lowerLetter"/>
      <w:lvlText w:val="%8."/>
      <w:lvlJc w:val="left"/>
      <w:pPr>
        <w:ind w:left="6100" w:hanging="360"/>
      </w:pPr>
    </w:lvl>
    <w:lvl w:ilvl="8" w:tentative="0">
      <w:start w:val="1"/>
      <w:numFmt w:val="lowerRoman"/>
      <w:lvlText w:val="%9."/>
      <w:lvlJc w:val="right"/>
      <w:pPr>
        <w:ind w:left="6820" w:hanging="180"/>
      </w:pPr>
    </w:lvl>
  </w:abstractNum>
  <w:abstractNum w:abstractNumId="3">
    <w:nsid w:val="0F487FA3"/>
    <w:multiLevelType w:val="multilevel"/>
    <w:tmpl w:val="0F487FA3"/>
    <w:lvl w:ilvl="0" w:tentative="0">
      <w:start w:val="9"/>
      <w:numFmt w:val="none"/>
      <w:pStyle w:val="59"/>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1" w:tentative="0">
      <w:start w:val="4"/>
      <w:numFmt w:val="lowerLetter"/>
      <w:pStyle w:val="57"/>
      <w:lvlText w:val="(%2)"/>
      <w:lvlJc w:val="left"/>
      <w:pPr>
        <w:tabs>
          <w:tab w:val="left" w:pos="720"/>
        </w:tabs>
        <w:ind w:left="720" w:hanging="720"/>
      </w:pPr>
      <w:rPr>
        <w:rFonts w:hint="default" w:ascii="Arial" w:hAnsi="Arial" w:cs="Arial"/>
        <w:b w:val="0"/>
        <w:i w:val="0"/>
        <w:caps w:val="0"/>
        <w:strike w:val="0"/>
        <w:dstrike w:val="0"/>
        <w:vanish w:val="0"/>
        <w:color w:val="auto"/>
        <w:sz w:val="21"/>
        <w:szCs w:val="21"/>
        <w:u w:val="none"/>
        <w:vertAlign w:val="baseline"/>
      </w:rPr>
    </w:lvl>
    <w:lvl w:ilvl="2" w:tentative="0">
      <w:start w:val="1"/>
      <w:numFmt w:val="lowerRoman"/>
      <w:pStyle w:val="56"/>
      <w:lvlText w:val="(%3)"/>
      <w:lvlJc w:val="left"/>
      <w:pPr>
        <w:tabs>
          <w:tab w:val="left" w:pos="1440"/>
        </w:tabs>
        <w:ind w:left="1440" w:hanging="720"/>
      </w:pPr>
      <w:rPr>
        <w:rFonts w:hint="default" w:ascii="Arial" w:hAnsi="Arial" w:cs="Arial"/>
        <w:b w:val="0"/>
        <w:i w:val="0"/>
        <w:caps w:val="0"/>
        <w:strike w:val="0"/>
        <w:dstrike w:val="0"/>
        <w:vanish w:val="0"/>
        <w:color w:val="auto"/>
        <w:sz w:val="21"/>
        <w:szCs w:val="21"/>
        <w:u w:val="none"/>
        <w:vertAlign w:val="baseline"/>
      </w:rPr>
    </w:lvl>
    <w:lvl w:ilvl="3" w:tentative="0">
      <w:start w:val="1"/>
      <w:numFmt w:val="upperLetter"/>
      <w:pStyle w:val="55"/>
      <w:lvlText w:val="(%4)"/>
      <w:lvlJc w:val="left"/>
      <w:pPr>
        <w:tabs>
          <w:tab w:val="left" w:pos="2160"/>
        </w:tabs>
        <w:ind w:left="2160" w:hanging="720"/>
      </w:pPr>
      <w:rPr>
        <w:rFonts w:hint="default" w:ascii="Arial" w:hAnsi="Arial" w:cs="Arial"/>
        <w:b w:val="0"/>
        <w:i w:val="0"/>
        <w:caps w:val="0"/>
        <w:strike w:val="0"/>
        <w:dstrike w:val="0"/>
        <w:vanish w:val="0"/>
        <w:color w:val="auto"/>
        <w:sz w:val="21"/>
        <w:szCs w:val="21"/>
        <w:u w:val="none"/>
        <w:vertAlign w:val="baseline"/>
      </w:rPr>
    </w:lvl>
    <w:lvl w:ilvl="4" w:tentative="0">
      <w:start w:val="1"/>
      <w:numFmt w:val="decimal"/>
      <w:pStyle w:val="54"/>
      <w:lvlText w:val="(%5)"/>
      <w:lvlJc w:val="left"/>
      <w:pPr>
        <w:tabs>
          <w:tab w:val="left"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5" w:tentative="0">
      <w:start w:val="1"/>
      <w:numFmt w:val="none"/>
      <w:lvlRestart w:val="0"/>
      <w:pStyle w:val="53"/>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6" w:tentative="0">
      <w:start w:val="1"/>
      <w:numFmt w:val="none"/>
      <w:lvlRestart w:val="0"/>
      <w:pStyle w:val="52"/>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tentative="0">
      <w:start w:val="1"/>
      <w:numFmt w:val="none"/>
      <w:lvlRestart w:val="0"/>
      <w:pStyle w:val="51"/>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tentative="0">
      <w:start w:val="1"/>
      <w:numFmt w:val="none"/>
      <w:lvlRestart w:val="0"/>
      <w:pStyle w:val="50"/>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4">
    <w:nsid w:val="2B267B63"/>
    <w:multiLevelType w:val="multilevel"/>
    <w:tmpl w:val="2B267B63"/>
    <w:lvl w:ilvl="0" w:tentative="0">
      <w:start w:val="1"/>
      <w:numFmt w:val="none"/>
      <w:pStyle w:val="72"/>
      <w:suff w:val="nothing"/>
      <w:lvlText w:val=""/>
      <w:lvlJc w:val="left"/>
      <w:pPr>
        <w:ind w:left="720" w:firstLine="0"/>
      </w:pPr>
      <w:rPr>
        <w:rFonts w:hint="default" w:ascii="Times New Roman" w:hAnsi="Times New Roman" w:cs="Times New Roman"/>
        <w:b w:val="0"/>
        <w:i w:val="0"/>
        <w:caps w:val="0"/>
        <w:strike w:val="0"/>
        <w:dstrike w:val="0"/>
        <w:vanish w:val="0"/>
        <w:color w:val="auto"/>
        <w:sz w:val="24"/>
        <w:u w:val="none"/>
        <w:vertAlign w:val="baseline"/>
      </w:rPr>
    </w:lvl>
    <w:lvl w:ilvl="1" w:tentative="0">
      <w:start w:val="1"/>
      <w:numFmt w:val="lowerLetter"/>
      <w:pStyle w:val="71"/>
      <w:lvlText w:val="(%2)"/>
      <w:lvlJc w:val="left"/>
      <w:pPr>
        <w:tabs>
          <w:tab w:val="left" w:pos="1440"/>
        </w:tabs>
        <w:ind w:left="1440" w:hanging="720"/>
      </w:pPr>
      <w:rPr>
        <w:rFonts w:hint="default" w:ascii="Arial" w:hAnsi="Arial" w:cs="Arial"/>
        <w:b w:val="0"/>
        <w:i w:val="0"/>
        <w:caps w:val="0"/>
        <w:strike w:val="0"/>
        <w:dstrike w:val="0"/>
        <w:vanish w:val="0"/>
        <w:color w:val="auto"/>
        <w:sz w:val="21"/>
        <w:szCs w:val="21"/>
        <w:u w:val="none"/>
        <w:vertAlign w:val="baseline"/>
      </w:rPr>
    </w:lvl>
    <w:lvl w:ilvl="2" w:tentative="0">
      <w:start w:val="1"/>
      <w:numFmt w:val="lowerRoman"/>
      <w:pStyle w:val="70"/>
      <w:lvlText w:val="(%3)"/>
      <w:lvlJc w:val="left"/>
      <w:pPr>
        <w:tabs>
          <w:tab w:val="left" w:pos="2160"/>
        </w:tabs>
        <w:ind w:left="2160" w:hanging="720"/>
      </w:pPr>
      <w:rPr>
        <w:rFonts w:hint="default" w:ascii="Arial" w:hAnsi="Arial" w:cs="Arial"/>
        <w:b w:val="0"/>
        <w:i w:val="0"/>
        <w:caps w:val="0"/>
        <w:strike w:val="0"/>
        <w:dstrike w:val="0"/>
        <w:vanish w:val="0"/>
        <w:color w:val="auto"/>
        <w:sz w:val="21"/>
        <w:szCs w:val="21"/>
        <w:u w:val="none"/>
        <w:vertAlign w:val="baseline"/>
      </w:rPr>
    </w:lvl>
    <w:lvl w:ilvl="3" w:tentative="0">
      <w:start w:val="1"/>
      <w:numFmt w:val="upperLetter"/>
      <w:pStyle w:val="69"/>
      <w:lvlText w:val="(%4)"/>
      <w:lvlJc w:val="left"/>
      <w:pPr>
        <w:tabs>
          <w:tab w:val="left"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4" w:tentative="0">
      <w:start w:val="1"/>
      <w:numFmt w:val="decimal"/>
      <w:pStyle w:val="68"/>
      <w:lvlText w:val="(%5)"/>
      <w:lvlJc w:val="left"/>
      <w:pPr>
        <w:tabs>
          <w:tab w:val="left"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5" w:tentative="0">
      <w:start w:val="1"/>
      <w:numFmt w:val="none"/>
      <w:lvlRestart w:val="0"/>
      <w:pStyle w:val="67"/>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6" w:tentative="0">
      <w:start w:val="1"/>
      <w:numFmt w:val="none"/>
      <w:lvlRestart w:val="0"/>
      <w:pStyle w:val="66"/>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tentative="0">
      <w:start w:val="1"/>
      <w:numFmt w:val="none"/>
      <w:lvlRestart w:val="0"/>
      <w:pStyle w:val="65"/>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tentative="0">
      <w:start w:val="1"/>
      <w:numFmt w:val="none"/>
      <w:lvlRestart w:val="0"/>
      <w:pStyle w:val="64"/>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5">
    <w:nsid w:val="33921880"/>
    <w:multiLevelType w:val="multilevel"/>
    <w:tmpl w:val="33921880"/>
    <w:lvl w:ilvl="0" w:tentative="0">
      <w:start w:val="1"/>
      <w:numFmt w:val="decimal"/>
      <w:pStyle w:val="82"/>
      <w:suff w:val="nothing"/>
      <w:lvlText w:val="Schedule %1"/>
      <w:lvlJc w:val="left"/>
      <w:pPr>
        <w:ind w:left="0" w:firstLine="0"/>
      </w:pPr>
      <w:rPr>
        <w:rFonts w:hint="default" w:ascii="Arial" w:hAnsi="Arial" w:cs="Arial"/>
        <w:b/>
        <w:i w:val="0"/>
        <w:caps w:val="0"/>
        <w:smallCaps w:val="0"/>
        <w:strike w:val="0"/>
        <w:dstrike w:val="0"/>
        <w:vanish w:val="0"/>
        <w:color w:val="auto"/>
        <w:sz w:val="21"/>
        <w:szCs w:val="21"/>
        <w:u w:val="none"/>
        <w:vertAlign w:val="baseline"/>
      </w:rPr>
    </w:lvl>
    <w:lvl w:ilvl="1" w:tentative="0">
      <w:start w:val="1"/>
      <w:numFmt w:val="upperLetter"/>
      <w:pStyle w:val="80"/>
      <w:suff w:val="nothing"/>
      <w:lvlText w:val="Part %2"/>
      <w:lvlJc w:val="left"/>
      <w:pPr>
        <w:ind w:left="0" w:firstLine="0"/>
      </w:pPr>
      <w:rPr>
        <w:rFonts w:hint="default" w:ascii="Times New Roman" w:hAnsi="Times New Roman" w:cs="Times New Roman"/>
        <w:b/>
        <w:i w:val="0"/>
        <w:caps/>
        <w:smallCaps w:val="0"/>
        <w:strike w:val="0"/>
        <w:dstrike w:val="0"/>
        <w:vanish w:val="0"/>
        <w:color w:val="000000"/>
        <w:sz w:val="24"/>
        <w:u w:val="none"/>
        <w:vertAlign w:val="baseline"/>
      </w:rPr>
    </w:lvl>
    <w:lvl w:ilvl="2" w:tentative="0">
      <w:start w:val="1"/>
      <w:numFmt w:val="decimal"/>
      <w:pStyle w:val="79"/>
      <w:isLgl/>
      <w:lvlText w:val="%3."/>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3" w:tentative="0">
      <w:start w:val="1"/>
      <w:numFmt w:val="decimal"/>
      <w:pStyle w:val="78"/>
      <w:isLgl/>
      <w:lvlText w:val="%3.%4"/>
      <w:lvlJc w:val="left"/>
      <w:pPr>
        <w:tabs>
          <w:tab w:val="left" w:pos="720"/>
        </w:tabs>
        <w:ind w:left="720" w:hanging="720"/>
      </w:pPr>
      <w:rPr>
        <w:rFonts w:hint="default" w:ascii="Arial" w:hAnsi="Arial" w:cs="Arial"/>
        <w:b w:val="0"/>
        <w:i w:val="0"/>
        <w:caps w:val="0"/>
        <w:strike w:val="0"/>
        <w:dstrike w:val="0"/>
        <w:vanish w:val="0"/>
        <w:color w:val="auto"/>
        <w:sz w:val="21"/>
        <w:szCs w:val="21"/>
        <w:u w:val="none"/>
        <w:vertAlign w:val="baseline"/>
      </w:rPr>
    </w:lvl>
    <w:lvl w:ilvl="4" w:tentative="0">
      <w:start w:val="1"/>
      <w:numFmt w:val="decimal"/>
      <w:pStyle w:val="77"/>
      <w:isLgl/>
      <w:lvlText w:val="%3.%4.%5"/>
      <w:lvlJc w:val="left"/>
      <w:pPr>
        <w:tabs>
          <w:tab w:val="left" w:pos="1440"/>
        </w:tabs>
        <w:ind w:left="1440" w:hanging="720"/>
      </w:pPr>
      <w:rPr>
        <w:rFonts w:hint="default" w:ascii="Times New Roman" w:hAnsi="Times New Roman" w:cs="Times New Roman"/>
        <w:b w:val="0"/>
        <w:i w:val="0"/>
        <w:caps w:val="0"/>
        <w:strike w:val="0"/>
        <w:dstrike w:val="0"/>
        <w:vanish w:val="0"/>
        <w:color w:val="auto"/>
        <w:sz w:val="20"/>
        <w:u w:val="none"/>
        <w:vertAlign w:val="baseline"/>
      </w:rPr>
    </w:lvl>
    <w:lvl w:ilvl="5" w:tentative="0">
      <w:start w:val="1"/>
      <w:numFmt w:val="lowerLetter"/>
      <w:pStyle w:val="76"/>
      <w:lvlText w:val="(%6)"/>
      <w:lvlJc w:val="left"/>
      <w:pPr>
        <w:tabs>
          <w:tab w:val="left"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6" w:tentative="0">
      <w:start w:val="1"/>
      <w:numFmt w:val="lowerRoman"/>
      <w:pStyle w:val="75"/>
      <w:lvlText w:val="(%7)"/>
      <w:lvlJc w:val="left"/>
      <w:pPr>
        <w:tabs>
          <w:tab w:val="left"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7" w:tentative="0">
      <w:start w:val="1"/>
      <w:numFmt w:val="upperLetter"/>
      <w:pStyle w:val="74"/>
      <w:lvlText w:val="(%8)"/>
      <w:lvlJc w:val="left"/>
      <w:pPr>
        <w:tabs>
          <w:tab w:val="left"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8" w:tentative="0">
      <w:start w:val="1"/>
      <w:numFmt w:val="decimal"/>
      <w:pStyle w:val="73"/>
      <w:lvlText w:val="(%9)"/>
      <w:lvlJc w:val="left"/>
      <w:pPr>
        <w:tabs>
          <w:tab w:val="left" w:pos="4320"/>
        </w:tabs>
        <w:ind w:left="4321" w:hanging="721"/>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6">
    <w:nsid w:val="38DD22D7"/>
    <w:multiLevelType w:val="multilevel"/>
    <w:tmpl w:val="38DD22D7"/>
    <w:lvl w:ilvl="0" w:tentative="0">
      <w:start w:val="1"/>
      <w:numFmt w:val="decimal"/>
      <w:lvlText w:val="(%1)"/>
      <w:lvlJc w:val="left"/>
      <w:pPr>
        <w:ind w:left="1146" w:hanging="360"/>
      </w:pPr>
      <w:rPr>
        <w:rFonts w:hint="default"/>
        <w:sz w:val="16"/>
        <w:szCs w:val="16"/>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7">
    <w:nsid w:val="391C27E1"/>
    <w:multiLevelType w:val="multilevel"/>
    <w:tmpl w:val="391C27E1"/>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FB076A8"/>
    <w:multiLevelType w:val="multilevel"/>
    <w:tmpl w:val="3FB076A8"/>
    <w:lvl w:ilvl="0" w:tentative="0">
      <w:start w:val="1"/>
      <w:numFmt w:val="lowerLetter"/>
      <w:lvlText w:val="(%1)"/>
      <w:lvlJc w:val="left"/>
      <w:pPr>
        <w:ind w:left="720" w:hanging="360"/>
      </w:pPr>
      <w:rPr>
        <w:rFonts w:hint="default"/>
        <w:b w:val="0"/>
        <w:bCs w:val="0"/>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47B5CC7"/>
    <w:multiLevelType w:val="multilevel"/>
    <w:tmpl w:val="447B5CC7"/>
    <w:lvl w:ilvl="0" w:tentative="0">
      <w:start w:val="1"/>
      <w:numFmt w:val="decimal"/>
      <w:lvlText w:val="%1."/>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1" w:tentative="0">
      <w:start w:val="1"/>
      <w:numFmt w:val="decimal"/>
      <w:lvlRestart w:val="0"/>
      <w:pStyle w:val="155"/>
      <w:lvlText w:val="(%2)"/>
      <w:lvlJc w:val="left"/>
      <w:pPr>
        <w:tabs>
          <w:tab w:val="left" w:pos="720"/>
        </w:tabs>
        <w:ind w:left="720" w:hanging="720"/>
      </w:pPr>
      <w:rPr>
        <w:rFonts w:hint="default" w:ascii="Arial" w:hAnsi="Arial" w:cs="Arial"/>
        <w:b w:val="0"/>
        <w:i w:val="0"/>
        <w:caps w:val="0"/>
        <w:strike w:val="0"/>
        <w:dstrike w:val="0"/>
        <w:vanish w:val="0"/>
        <w:color w:val="auto"/>
        <w:sz w:val="21"/>
        <w:szCs w:val="21"/>
        <w:u w:val="none"/>
        <w:vertAlign w:val="baseline"/>
      </w:rPr>
    </w:lvl>
    <w:lvl w:ilvl="2" w:tentative="0">
      <w:start w:val="1"/>
      <w:numFmt w:val="upperLetter"/>
      <w:lvlRestart w:val="0"/>
      <w:lvlText w:val="%3"/>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3" w:tentative="0">
      <w:start w:val="1"/>
      <w:numFmt w:val="upperLetter"/>
      <w:lvlRestart w:val="0"/>
      <w:lvlText w:val="(%4)"/>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4" w:tentative="0">
      <w:start w:val="1"/>
      <w:numFmt w:val="lowerLetter"/>
      <w:lvlRestart w:val="0"/>
      <w:lvlText w:val="(%5)"/>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5" w:tentative="0">
      <w:start w:val="1"/>
      <w:numFmt w:val="upperRoman"/>
      <w:lvlRestart w:val="0"/>
      <w:lvlText w:val="%6"/>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6" w:tentative="0">
      <w:start w:val="1"/>
      <w:numFmt w:val="lowerRoman"/>
      <w:lvlRestart w:val="0"/>
      <w:lvlText w:val="(%7)"/>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7" w:tentative="0">
      <w:start w:val="1"/>
      <w:numFmt w:val="none"/>
      <w:lvlRestart w:val="0"/>
      <w:suff w:val="nothing"/>
      <w:lvlText w:val="%8"/>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tentative="0">
      <w:start w:val="1"/>
      <w:numFmt w:val="none"/>
      <w:lvlRestart w:val="0"/>
      <w:suff w:val="nothing"/>
      <w:lvlText w:val="%9"/>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10">
    <w:nsid w:val="4CAA4C46"/>
    <w:multiLevelType w:val="multilevel"/>
    <w:tmpl w:val="4CAA4C46"/>
    <w:lvl w:ilvl="0" w:tentative="0">
      <w:start w:val="1"/>
      <w:numFmt w:val="upperLetter"/>
      <w:lvlText w:val="(%1)"/>
      <w:lvlJc w:val="left"/>
      <w:pPr>
        <w:ind w:left="2160" w:hanging="360"/>
      </w:pPr>
      <w:rPr>
        <w:rFonts w:hint="eastAsia"/>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1">
    <w:nsid w:val="502D1B54"/>
    <w:multiLevelType w:val="multilevel"/>
    <w:tmpl w:val="502D1B54"/>
    <w:lvl w:ilvl="0" w:tentative="0">
      <w:start w:val="1"/>
      <w:numFmt w:val="decimal"/>
      <w:lvlText w:val="(%1)"/>
      <w:lvlJc w:val="right"/>
      <w:pPr>
        <w:ind w:left="1146" w:hanging="360"/>
      </w:pPr>
      <w:rPr>
        <w:rFonts w:hint="default"/>
        <w:sz w:val="16"/>
        <w:szCs w:val="16"/>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2">
    <w:nsid w:val="52652EDC"/>
    <w:multiLevelType w:val="multilevel"/>
    <w:tmpl w:val="52652EDC"/>
    <w:lvl w:ilvl="0" w:tentative="0">
      <w:start w:val="1"/>
      <w:numFmt w:val="decimal"/>
      <w:lvlText w:val="(%1)"/>
      <w:lvlJc w:val="right"/>
      <w:pPr>
        <w:ind w:left="1146" w:hanging="360"/>
      </w:pPr>
      <w:rPr>
        <w:rFonts w:hint="default"/>
        <w:sz w:val="16"/>
        <w:szCs w:val="16"/>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3">
    <w:nsid w:val="57C43B2B"/>
    <w:multiLevelType w:val="multilevel"/>
    <w:tmpl w:val="57C43B2B"/>
    <w:lvl w:ilvl="0" w:tentative="0">
      <w:start w:val="1"/>
      <w:numFmt w:val="decimal"/>
      <w:lvlText w:val="(%1)"/>
      <w:lvlJc w:val="right"/>
      <w:pPr>
        <w:ind w:left="1146" w:hanging="360"/>
      </w:pPr>
      <w:rPr>
        <w:rFonts w:hint="default" w:ascii="Arial" w:hAnsi="Arial" w:cs="Arial"/>
        <w:sz w:val="16"/>
        <w:szCs w:val="16"/>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4">
    <w:nsid w:val="68112DC3"/>
    <w:multiLevelType w:val="multilevel"/>
    <w:tmpl w:val="68112DC3"/>
    <w:lvl w:ilvl="0" w:tentative="0">
      <w:start w:val="1"/>
      <w:numFmt w:val="upperLetter"/>
      <w:lvlText w:val="(%1)"/>
      <w:lvlJc w:val="left"/>
      <w:pPr>
        <w:ind w:left="2160" w:hanging="360"/>
      </w:pPr>
      <w:rPr>
        <w:rFonts w:hint="eastAsia"/>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5">
    <w:nsid w:val="68AF5B8C"/>
    <w:multiLevelType w:val="multilevel"/>
    <w:tmpl w:val="68AF5B8C"/>
    <w:lvl w:ilvl="0" w:tentative="0">
      <w:start w:val="1"/>
      <w:numFmt w:val="lowerLetter"/>
      <w:pStyle w:val="7"/>
      <w:lvlText w:val="(%1)"/>
      <w:lvlJc w:val="left"/>
      <w:pPr>
        <w:ind w:left="360" w:hanging="360"/>
      </w:pPr>
      <w:rPr>
        <w:rFonts w:hint="default" w:ascii="Arial" w:hAnsi="Arial" w:cs="Arial"/>
        <w:b w:val="0"/>
        <w:i w:val="0"/>
        <w:sz w:val="21"/>
        <w:szCs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CB534BF"/>
    <w:multiLevelType w:val="multilevel"/>
    <w:tmpl w:val="6CB534BF"/>
    <w:lvl w:ilvl="0" w:tentative="0">
      <w:start w:val="1"/>
      <w:numFmt w:val="decimal"/>
      <w:lvlText w:val="(%1)"/>
      <w:lvlJc w:val="left"/>
      <w:pPr>
        <w:ind w:left="1080" w:hanging="360"/>
      </w:pPr>
      <w:rPr>
        <w:rFonts w:hint="default" w:ascii="Arial" w:hAnsi="Arial" w:cs="Arial"/>
        <w:sz w:val="16"/>
        <w:szCs w:val="16"/>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7">
    <w:nsid w:val="79BC658C"/>
    <w:multiLevelType w:val="multilevel"/>
    <w:tmpl w:val="79BC658C"/>
    <w:lvl w:ilvl="0" w:tentative="0">
      <w:start w:val="1"/>
      <w:numFmt w:val="lowerLetter"/>
      <w:lvlText w:val="(%1)"/>
      <w:lvlJc w:val="left"/>
      <w:pPr>
        <w:ind w:left="942" w:hanging="360"/>
      </w:pPr>
      <w:rPr>
        <w:rFonts w:hint="default" w:ascii="Arial" w:hAnsi="Arial" w:cs="Arial"/>
        <w:sz w:val="16"/>
        <w:szCs w:val="16"/>
      </w:rPr>
    </w:lvl>
    <w:lvl w:ilvl="1" w:tentative="0">
      <w:start w:val="1"/>
      <w:numFmt w:val="lowerLetter"/>
      <w:lvlText w:val="%2."/>
      <w:lvlJc w:val="left"/>
      <w:pPr>
        <w:ind w:left="1662" w:hanging="360"/>
      </w:pPr>
    </w:lvl>
    <w:lvl w:ilvl="2" w:tentative="0">
      <w:start w:val="1"/>
      <w:numFmt w:val="lowerRoman"/>
      <w:lvlText w:val="%3."/>
      <w:lvlJc w:val="right"/>
      <w:pPr>
        <w:ind w:left="2382" w:hanging="180"/>
      </w:pPr>
    </w:lvl>
    <w:lvl w:ilvl="3" w:tentative="0">
      <w:start w:val="1"/>
      <w:numFmt w:val="decimal"/>
      <w:lvlText w:val="%4."/>
      <w:lvlJc w:val="left"/>
      <w:pPr>
        <w:ind w:left="3102" w:hanging="360"/>
      </w:pPr>
    </w:lvl>
    <w:lvl w:ilvl="4" w:tentative="0">
      <w:start w:val="1"/>
      <w:numFmt w:val="lowerLetter"/>
      <w:lvlText w:val="%5."/>
      <w:lvlJc w:val="left"/>
      <w:pPr>
        <w:ind w:left="3822" w:hanging="360"/>
      </w:pPr>
    </w:lvl>
    <w:lvl w:ilvl="5" w:tentative="0">
      <w:start w:val="1"/>
      <w:numFmt w:val="lowerRoman"/>
      <w:lvlText w:val="%6."/>
      <w:lvlJc w:val="right"/>
      <w:pPr>
        <w:ind w:left="4542" w:hanging="180"/>
      </w:pPr>
    </w:lvl>
    <w:lvl w:ilvl="6" w:tentative="0">
      <w:start w:val="1"/>
      <w:numFmt w:val="decimal"/>
      <w:lvlText w:val="%7."/>
      <w:lvlJc w:val="left"/>
      <w:pPr>
        <w:ind w:left="5262" w:hanging="360"/>
      </w:pPr>
    </w:lvl>
    <w:lvl w:ilvl="7" w:tentative="0">
      <w:start w:val="1"/>
      <w:numFmt w:val="lowerLetter"/>
      <w:lvlText w:val="%8."/>
      <w:lvlJc w:val="left"/>
      <w:pPr>
        <w:ind w:left="5982" w:hanging="360"/>
      </w:pPr>
    </w:lvl>
    <w:lvl w:ilvl="8" w:tentative="0">
      <w:start w:val="1"/>
      <w:numFmt w:val="lowerRoman"/>
      <w:lvlText w:val="%9."/>
      <w:lvlJc w:val="right"/>
      <w:pPr>
        <w:ind w:left="6702" w:hanging="180"/>
      </w:pPr>
    </w:lvl>
  </w:abstractNum>
  <w:abstractNum w:abstractNumId="18">
    <w:nsid w:val="7A8101A1"/>
    <w:multiLevelType w:val="multilevel"/>
    <w:tmpl w:val="7A8101A1"/>
    <w:lvl w:ilvl="0" w:tentative="0">
      <w:start w:val="1"/>
      <w:numFmt w:val="upperLetter"/>
      <w:pStyle w:val="107"/>
      <w:lvlText w:val="%1."/>
      <w:lvlJc w:val="center"/>
      <w:pPr>
        <w:tabs>
          <w:tab w:val="left" w:pos="720"/>
        </w:tabs>
        <w:ind w:left="720" w:hanging="720"/>
      </w:pPr>
      <w:rPr>
        <w:rFonts w:hint="default" w:ascii="Arial" w:hAnsi="Arial" w:cs="Arial"/>
        <w:b/>
        <w:bCs/>
        <w:i w:val="0"/>
        <w:caps w:val="0"/>
        <w:strike w:val="0"/>
        <w:dstrike w:val="0"/>
        <w:vanish w:val="0"/>
        <w:color w:val="auto"/>
        <w:sz w:val="21"/>
        <w:szCs w:val="21"/>
        <w:u w:val="none"/>
        <w:vertAlign w:val="baseline"/>
      </w:rPr>
    </w:lvl>
    <w:lvl w:ilvl="1" w:tentative="0">
      <w:start w:val="1"/>
      <w:numFmt w:val="decimal"/>
      <w:pStyle w:val="105"/>
      <w:isLgl/>
      <w:lvlText w:val="%2."/>
      <w:lvlJc w:val="left"/>
      <w:pPr>
        <w:tabs>
          <w:tab w:val="left" w:pos="720"/>
        </w:tabs>
        <w:ind w:left="720" w:hanging="720"/>
      </w:pPr>
      <w:rPr>
        <w:rFonts w:hint="default" w:ascii="Arial" w:hAnsi="Arial" w:cs="Arial"/>
        <w:b/>
        <w:bCs/>
        <w:i w:val="0"/>
        <w:caps w:val="0"/>
        <w:strike w:val="0"/>
        <w:dstrike w:val="0"/>
        <w:vanish w:val="0"/>
        <w:color w:val="auto"/>
        <w:sz w:val="21"/>
        <w:szCs w:val="21"/>
        <w:u w:val="none"/>
        <w:vertAlign w:val="baseline"/>
      </w:rPr>
    </w:lvl>
    <w:lvl w:ilvl="2" w:tentative="0">
      <w:start w:val="1"/>
      <w:numFmt w:val="lowerLetter"/>
      <w:pStyle w:val="103"/>
      <w:lvlText w:val="(%3)"/>
      <w:lvlJc w:val="left"/>
      <w:pPr>
        <w:tabs>
          <w:tab w:val="left" w:pos="3954"/>
        </w:tabs>
        <w:ind w:left="3954" w:hanging="624"/>
      </w:pPr>
      <w:rPr>
        <w:rFonts w:hint="default" w:ascii="Arial" w:hAnsi="Arial" w:cs="Arial"/>
        <w:b w:val="0"/>
        <w:i w:val="0"/>
        <w:caps w:val="0"/>
        <w:strike w:val="0"/>
        <w:dstrike w:val="0"/>
        <w:vanish w:val="0"/>
        <w:color w:val="auto"/>
        <w:sz w:val="21"/>
        <w:szCs w:val="21"/>
        <w:u w:val="none"/>
        <w:vertAlign w:val="baseline"/>
      </w:rPr>
    </w:lvl>
    <w:lvl w:ilvl="3" w:tentative="0">
      <w:start w:val="1"/>
      <w:numFmt w:val="none"/>
      <w:lvlRestart w:val="0"/>
      <w:pStyle w:val="101"/>
      <w:suff w:val="nothing"/>
      <w:lvlText w:val="%4"/>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4" w:tentative="0">
      <w:start w:val="1"/>
      <w:numFmt w:val="lowerRoman"/>
      <w:pStyle w:val="99"/>
      <w:lvlText w:val="(%5)"/>
      <w:lvlJc w:val="left"/>
      <w:pPr>
        <w:tabs>
          <w:tab w:val="left" w:pos="720"/>
        </w:tabs>
        <w:ind w:left="720" w:hanging="720"/>
      </w:pPr>
      <w:rPr>
        <w:rFonts w:hint="default" w:ascii="Arial" w:hAnsi="Arial" w:cs="Arial"/>
        <w:b w:val="0"/>
        <w:i w:val="0"/>
        <w:caps w:val="0"/>
        <w:strike w:val="0"/>
        <w:dstrike w:val="0"/>
        <w:vanish w:val="0"/>
        <w:color w:val="auto"/>
        <w:sz w:val="21"/>
        <w:szCs w:val="21"/>
        <w:u w:val="none"/>
        <w:vertAlign w:val="baseline"/>
      </w:rPr>
    </w:lvl>
    <w:lvl w:ilvl="5" w:tentative="0">
      <w:start w:val="1"/>
      <w:numFmt w:val="decimal"/>
      <w:pStyle w:val="97"/>
      <w:lvlText w:val="(%6)"/>
      <w:lvlJc w:val="left"/>
      <w:pPr>
        <w:tabs>
          <w:tab w:val="left"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6" w:tentative="0">
      <w:start w:val="1"/>
      <w:numFmt w:val="none"/>
      <w:lvlRestart w:val="0"/>
      <w:pStyle w:val="95"/>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tentative="0">
      <w:start w:val="1"/>
      <w:numFmt w:val="none"/>
      <w:lvlRestart w:val="0"/>
      <w:pStyle w:val="93"/>
      <w:suff w:val="nothing"/>
      <w:lvlText w:val=""/>
      <w:lvlJc w:val="left"/>
      <w:pPr>
        <w:ind w:left="0" w:firstLine="0"/>
      </w:pPr>
      <w:rPr>
        <w:rFonts w:hint="default" w:ascii="Symbol" w:hAnsi="Symbol"/>
        <w:b w:val="0"/>
        <w:i w:val="0"/>
        <w:caps w:val="0"/>
        <w:strike w:val="0"/>
        <w:dstrike w:val="0"/>
        <w:vanish w:val="0"/>
        <w:color w:val="auto"/>
        <w:sz w:val="24"/>
        <w:u w:val="none"/>
        <w:vertAlign w:val="baseline"/>
      </w:rPr>
    </w:lvl>
    <w:lvl w:ilvl="8" w:tentative="0">
      <w:start w:val="1"/>
      <w:numFmt w:val="none"/>
      <w:lvlRestart w:val="0"/>
      <w:pStyle w:val="91"/>
      <w:suff w:val="nothing"/>
      <w:lvlText w:val=""/>
      <w:lvlJc w:val="left"/>
      <w:pPr>
        <w:ind w:left="0" w:firstLine="0"/>
      </w:pPr>
      <w:rPr>
        <w:rFonts w:hint="default" w:ascii="Symbol" w:hAnsi="Symbol"/>
        <w:b w:val="0"/>
        <w:i w:val="0"/>
        <w:caps w:val="0"/>
        <w:strike w:val="0"/>
        <w:dstrike w:val="0"/>
        <w:vanish w:val="0"/>
        <w:color w:val="auto"/>
        <w:sz w:val="24"/>
        <w:u w:val="none"/>
        <w:vertAlign w:val="baseline"/>
      </w:rPr>
    </w:lvl>
  </w:abstractNum>
  <w:num w:numId="1">
    <w:abstractNumId w:val="15"/>
  </w:num>
  <w:num w:numId="2">
    <w:abstractNumId w:val="3"/>
  </w:num>
  <w:num w:numId="3">
    <w:abstractNumId w:val="4"/>
  </w:num>
  <w:num w:numId="4">
    <w:abstractNumId w:val="5"/>
  </w:num>
  <w:num w:numId="5">
    <w:abstractNumId w:val="18"/>
  </w:num>
  <w:num w:numId="6">
    <w:abstractNumId w:val="9"/>
  </w:num>
  <w:num w:numId="7">
    <w:abstractNumId w:val="6"/>
  </w:num>
  <w:num w:numId="8">
    <w:abstractNumId w:val="0"/>
  </w:num>
  <w:num w:numId="9">
    <w:abstractNumId w:val="12"/>
  </w:num>
  <w:num w:numId="10">
    <w:abstractNumId w:val="2"/>
  </w:num>
  <w:num w:numId="11">
    <w:abstractNumId w:val="13"/>
  </w:num>
  <w:num w:numId="12">
    <w:abstractNumId w:val="16"/>
  </w:num>
  <w:num w:numId="13">
    <w:abstractNumId w:val="11"/>
  </w:num>
  <w:num w:numId="14">
    <w:abstractNumId w:val="1"/>
  </w:num>
  <w:num w:numId="15">
    <w:abstractNumId w:val="17"/>
  </w:num>
  <w:num w:numId="16">
    <w:abstractNumId w:val="7"/>
  </w:num>
  <w:num w:numId="17">
    <w:abstractNumId w:val="18"/>
    <w:lvlOverride w:ilvl="0">
      <w:startOverride w:val="2"/>
    </w:lvlOverride>
    <w:lvlOverride w:ilvl="1">
      <w:startOverride w:val="1"/>
    </w:lvlOverride>
    <w:lvlOverride w:ilvl="2">
      <w:startOverride w:val="13"/>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1"/>
    </w:lvlOverride>
    <w:lvlOverride w:ilvl="2">
      <w:startOverride w:val="13"/>
    </w:lvlOverride>
    <w:lvlOverride w:ilvl="3">
      <w:startOverride w:val="4"/>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
    </w:lvlOverride>
    <w:lvlOverride w:ilvl="1">
      <w:startOverride w:val="1"/>
    </w:lvlOverride>
    <w:lvlOverride w:ilvl="2">
      <w:startOverride w:val="13"/>
    </w:lvlOverride>
    <w:lvlOverride w:ilvl="3">
      <w:startOverride w:val="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
    </w:lvlOverride>
    <w:lvlOverride w:ilvl="1">
      <w:startOverride w:val="1"/>
    </w:lvlOverride>
    <w:lvlOverride w:ilvl="2">
      <w:startOverride w:val="13"/>
    </w:lvlOverride>
    <w:lvlOverride w:ilvl="3">
      <w:startOverride w:val="6"/>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3"/>
    </w:lvlOverride>
    <w:lvlOverride w:ilvl="2">
      <w:startOverride w:val="5"/>
    </w:lvlOverride>
    <w:lvlOverride w:ilvl="3">
      <w:startOverride w:val="17"/>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4"/>
    </w:lvlOverride>
    <w:lvlOverride w:ilvl="2">
      <w:startOverride w:val="7"/>
    </w:lvlOverride>
    <w:lvlOverride w:ilvl="3">
      <w:startOverride w:val="2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3"/>
    </w:lvlOverride>
    <w:lvlOverride w:ilvl="1">
      <w:startOverride w:val="5"/>
    </w:lvlOverride>
    <w:lvlOverride w:ilvl="2">
      <w:startOverride w:val="6"/>
    </w:lvlOverride>
    <w:lvlOverride w:ilvl="3">
      <w:startOverride w:val="3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3"/>
    </w:lvlOverride>
    <w:lvlOverride w:ilvl="1">
      <w:startOverride w:val="6"/>
    </w:lvlOverride>
    <w:lvlOverride w:ilvl="2">
      <w:startOverride w:val="6"/>
    </w:lvlOverride>
    <w:lvlOverride w:ilvl="3">
      <w:startOverride w:val="39"/>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3"/>
    </w:lvlOverride>
    <w:lvlOverride w:ilvl="1">
      <w:startOverride w:val="7"/>
    </w:lvlOverride>
    <w:lvlOverride w:ilvl="2">
      <w:startOverride w:val="6"/>
    </w:lvlOverride>
    <w:lvlOverride w:ilvl="3">
      <w:startOverride w:val="47"/>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num>
  <w:num w:numId="36">
    <w:abstractNumId w:val="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4"/>
  </w:num>
  <w:num w:numId="41">
    <w:abstractNumId w:val="8"/>
  </w:num>
  <w:num w:numId="42">
    <w:abstractNumId w:val="3"/>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hideSpellingErrors/>
  <w:doNotTrackFormatting/>
  <w:attachedTemplate r:id="rId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doNotValidateAgainstSchema/>
  <w:doNotDemarcateInvalidXml/>
  <w:footnotePr>
    <w:footnote w:id="394"/>
    <w:footnote w:id="395"/>
  </w:footnotePr>
  <w:endnotePr>
    <w:numFmt w:val="lowerLette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DI3Mza3NDQxtjRQ0lEKTi0uzszPAykwrAUARcv6QiwAAAA="/>
  </w:docVars>
  <w:rsids>
    <w:rsidRoot w:val="000C453E"/>
    <w:rsid w:val="00000BC4"/>
    <w:rsid w:val="00000E0F"/>
    <w:rsid w:val="0001379B"/>
    <w:rsid w:val="00015ECD"/>
    <w:rsid w:val="00020FA4"/>
    <w:rsid w:val="000340D0"/>
    <w:rsid w:val="00036961"/>
    <w:rsid w:val="0005560A"/>
    <w:rsid w:val="00062BD9"/>
    <w:rsid w:val="0006605B"/>
    <w:rsid w:val="00075DF5"/>
    <w:rsid w:val="0007736E"/>
    <w:rsid w:val="00086133"/>
    <w:rsid w:val="0008619C"/>
    <w:rsid w:val="00087C13"/>
    <w:rsid w:val="000960C0"/>
    <w:rsid w:val="000965B7"/>
    <w:rsid w:val="000972C8"/>
    <w:rsid w:val="00097954"/>
    <w:rsid w:val="000B34B7"/>
    <w:rsid w:val="000B6441"/>
    <w:rsid w:val="000C453E"/>
    <w:rsid w:val="000D5725"/>
    <w:rsid w:val="000D7623"/>
    <w:rsid w:val="000E4078"/>
    <w:rsid w:val="000F0565"/>
    <w:rsid w:val="000F56FF"/>
    <w:rsid w:val="000F64E8"/>
    <w:rsid w:val="000F7918"/>
    <w:rsid w:val="00102575"/>
    <w:rsid w:val="00121B37"/>
    <w:rsid w:val="00132D34"/>
    <w:rsid w:val="0014399B"/>
    <w:rsid w:val="001517B8"/>
    <w:rsid w:val="00161788"/>
    <w:rsid w:val="00161F11"/>
    <w:rsid w:val="00171713"/>
    <w:rsid w:val="00187C87"/>
    <w:rsid w:val="0019065D"/>
    <w:rsid w:val="001A1C2C"/>
    <w:rsid w:val="001B3D07"/>
    <w:rsid w:val="001B56C1"/>
    <w:rsid w:val="001C296A"/>
    <w:rsid w:val="001C7E20"/>
    <w:rsid w:val="001D4220"/>
    <w:rsid w:val="001D6718"/>
    <w:rsid w:val="001D6CE3"/>
    <w:rsid w:val="001E4421"/>
    <w:rsid w:val="001E5572"/>
    <w:rsid w:val="0020215A"/>
    <w:rsid w:val="00211BB7"/>
    <w:rsid w:val="00213B47"/>
    <w:rsid w:val="002154AB"/>
    <w:rsid w:val="00221B29"/>
    <w:rsid w:val="00222FE2"/>
    <w:rsid w:val="00224F6A"/>
    <w:rsid w:val="00233657"/>
    <w:rsid w:val="00237E7B"/>
    <w:rsid w:val="00237E93"/>
    <w:rsid w:val="002412ED"/>
    <w:rsid w:val="002508B9"/>
    <w:rsid w:val="00255A0F"/>
    <w:rsid w:val="002604D5"/>
    <w:rsid w:val="002704B6"/>
    <w:rsid w:val="00275827"/>
    <w:rsid w:val="00280218"/>
    <w:rsid w:val="002804E1"/>
    <w:rsid w:val="00280DD7"/>
    <w:rsid w:val="0028252E"/>
    <w:rsid w:val="00285173"/>
    <w:rsid w:val="00287DB4"/>
    <w:rsid w:val="00290CBC"/>
    <w:rsid w:val="00291A4D"/>
    <w:rsid w:val="002973C2"/>
    <w:rsid w:val="002B5566"/>
    <w:rsid w:val="002C14B1"/>
    <w:rsid w:val="002C29B2"/>
    <w:rsid w:val="002C30A1"/>
    <w:rsid w:val="002C58DA"/>
    <w:rsid w:val="002D3296"/>
    <w:rsid w:val="002E15DD"/>
    <w:rsid w:val="002F01EC"/>
    <w:rsid w:val="00306C17"/>
    <w:rsid w:val="00313438"/>
    <w:rsid w:val="00316D7B"/>
    <w:rsid w:val="00316F65"/>
    <w:rsid w:val="0032007F"/>
    <w:rsid w:val="00323842"/>
    <w:rsid w:val="00324A64"/>
    <w:rsid w:val="0033090F"/>
    <w:rsid w:val="00335B28"/>
    <w:rsid w:val="00341009"/>
    <w:rsid w:val="00357761"/>
    <w:rsid w:val="0036233A"/>
    <w:rsid w:val="0036267B"/>
    <w:rsid w:val="00370C3E"/>
    <w:rsid w:val="0037290B"/>
    <w:rsid w:val="00373D30"/>
    <w:rsid w:val="003763EF"/>
    <w:rsid w:val="00383636"/>
    <w:rsid w:val="00385687"/>
    <w:rsid w:val="00390FF0"/>
    <w:rsid w:val="00396D6C"/>
    <w:rsid w:val="003A18A8"/>
    <w:rsid w:val="003A716A"/>
    <w:rsid w:val="003C31DB"/>
    <w:rsid w:val="003C69CD"/>
    <w:rsid w:val="003C6C94"/>
    <w:rsid w:val="003C7964"/>
    <w:rsid w:val="003D2396"/>
    <w:rsid w:val="003D4ADD"/>
    <w:rsid w:val="003D4D17"/>
    <w:rsid w:val="00407CA7"/>
    <w:rsid w:val="00411B41"/>
    <w:rsid w:val="00433391"/>
    <w:rsid w:val="0044781F"/>
    <w:rsid w:val="00461081"/>
    <w:rsid w:val="0046131A"/>
    <w:rsid w:val="00463325"/>
    <w:rsid w:val="00466137"/>
    <w:rsid w:val="004702ED"/>
    <w:rsid w:val="00470BAE"/>
    <w:rsid w:val="004776E2"/>
    <w:rsid w:val="00481807"/>
    <w:rsid w:val="0048759A"/>
    <w:rsid w:val="00490CB1"/>
    <w:rsid w:val="00494D16"/>
    <w:rsid w:val="004A1BC9"/>
    <w:rsid w:val="004A3154"/>
    <w:rsid w:val="004C11C4"/>
    <w:rsid w:val="004C571C"/>
    <w:rsid w:val="004D529A"/>
    <w:rsid w:val="004E338E"/>
    <w:rsid w:val="004E38AD"/>
    <w:rsid w:val="004E4207"/>
    <w:rsid w:val="004E62E8"/>
    <w:rsid w:val="005136B8"/>
    <w:rsid w:val="00515654"/>
    <w:rsid w:val="0052496B"/>
    <w:rsid w:val="00535AB1"/>
    <w:rsid w:val="00560036"/>
    <w:rsid w:val="00562132"/>
    <w:rsid w:val="005622FC"/>
    <w:rsid w:val="00564D15"/>
    <w:rsid w:val="00570A48"/>
    <w:rsid w:val="005727F6"/>
    <w:rsid w:val="0058730B"/>
    <w:rsid w:val="0059201C"/>
    <w:rsid w:val="005959BD"/>
    <w:rsid w:val="005979C7"/>
    <w:rsid w:val="005A6C6E"/>
    <w:rsid w:val="005B1DE1"/>
    <w:rsid w:val="005C18E3"/>
    <w:rsid w:val="005C2D2D"/>
    <w:rsid w:val="005C347D"/>
    <w:rsid w:val="005D00BB"/>
    <w:rsid w:val="005D37A5"/>
    <w:rsid w:val="005F56DC"/>
    <w:rsid w:val="00600CC9"/>
    <w:rsid w:val="00604B69"/>
    <w:rsid w:val="0061012F"/>
    <w:rsid w:val="006351A3"/>
    <w:rsid w:val="00640988"/>
    <w:rsid w:val="00641476"/>
    <w:rsid w:val="0064237D"/>
    <w:rsid w:val="00652350"/>
    <w:rsid w:val="00666AA4"/>
    <w:rsid w:val="006709B4"/>
    <w:rsid w:val="00673693"/>
    <w:rsid w:val="00676D71"/>
    <w:rsid w:val="00677E6B"/>
    <w:rsid w:val="006812CB"/>
    <w:rsid w:val="006925A6"/>
    <w:rsid w:val="0069604C"/>
    <w:rsid w:val="006B085D"/>
    <w:rsid w:val="006C427E"/>
    <w:rsid w:val="006C56B7"/>
    <w:rsid w:val="006C606F"/>
    <w:rsid w:val="006C6F5C"/>
    <w:rsid w:val="006D108B"/>
    <w:rsid w:val="006D69CB"/>
    <w:rsid w:val="006E145D"/>
    <w:rsid w:val="006E4702"/>
    <w:rsid w:val="006F5475"/>
    <w:rsid w:val="007034CC"/>
    <w:rsid w:val="0070597B"/>
    <w:rsid w:val="007063C7"/>
    <w:rsid w:val="00707E4C"/>
    <w:rsid w:val="0071243E"/>
    <w:rsid w:val="00717A85"/>
    <w:rsid w:val="0073583E"/>
    <w:rsid w:val="007358C6"/>
    <w:rsid w:val="00755E71"/>
    <w:rsid w:val="00784040"/>
    <w:rsid w:val="00792194"/>
    <w:rsid w:val="00794ED3"/>
    <w:rsid w:val="007A2BE5"/>
    <w:rsid w:val="007A4135"/>
    <w:rsid w:val="007D0005"/>
    <w:rsid w:val="007D075F"/>
    <w:rsid w:val="007D6DEA"/>
    <w:rsid w:val="00802B0A"/>
    <w:rsid w:val="008201BF"/>
    <w:rsid w:val="00824B3B"/>
    <w:rsid w:val="008271CD"/>
    <w:rsid w:val="008318DC"/>
    <w:rsid w:val="00836631"/>
    <w:rsid w:val="008420F6"/>
    <w:rsid w:val="00843767"/>
    <w:rsid w:val="00844D39"/>
    <w:rsid w:val="00853B32"/>
    <w:rsid w:val="00860D03"/>
    <w:rsid w:val="008618F5"/>
    <w:rsid w:val="00862120"/>
    <w:rsid w:val="008630F3"/>
    <w:rsid w:val="008655F4"/>
    <w:rsid w:val="00866308"/>
    <w:rsid w:val="00870573"/>
    <w:rsid w:val="00870DD0"/>
    <w:rsid w:val="00882033"/>
    <w:rsid w:val="008848A6"/>
    <w:rsid w:val="008A3AE4"/>
    <w:rsid w:val="008B0A54"/>
    <w:rsid w:val="008B40CA"/>
    <w:rsid w:val="008C07EE"/>
    <w:rsid w:val="008C1666"/>
    <w:rsid w:val="008C50B1"/>
    <w:rsid w:val="008C523E"/>
    <w:rsid w:val="008D0CD3"/>
    <w:rsid w:val="008D2FB0"/>
    <w:rsid w:val="008D3E0D"/>
    <w:rsid w:val="008D68EC"/>
    <w:rsid w:val="008F04E9"/>
    <w:rsid w:val="008F0920"/>
    <w:rsid w:val="009025BE"/>
    <w:rsid w:val="00905434"/>
    <w:rsid w:val="00920FFE"/>
    <w:rsid w:val="00933A79"/>
    <w:rsid w:val="00935C8A"/>
    <w:rsid w:val="009404AF"/>
    <w:rsid w:val="00940AA8"/>
    <w:rsid w:val="0094653B"/>
    <w:rsid w:val="00951E40"/>
    <w:rsid w:val="00952F68"/>
    <w:rsid w:val="009567D3"/>
    <w:rsid w:val="00960CB1"/>
    <w:rsid w:val="00961BA0"/>
    <w:rsid w:val="00963759"/>
    <w:rsid w:val="00985A18"/>
    <w:rsid w:val="009B0364"/>
    <w:rsid w:val="009B4CCD"/>
    <w:rsid w:val="009C23A0"/>
    <w:rsid w:val="009C3231"/>
    <w:rsid w:val="009C6288"/>
    <w:rsid w:val="009D1B86"/>
    <w:rsid w:val="009D447B"/>
    <w:rsid w:val="009E437B"/>
    <w:rsid w:val="009E461E"/>
    <w:rsid w:val="00A0017D"/>
    <w:rsid w:val="00A00F90"/>
    <w:rsid w:val="00A11468"/>
    <w:rsid w:val="00A160D2"/>
    <w:rsid w:val="00A22BB2"/>
    <w:rsid w:val="00A2541F"/>
    <w:rsid w:val="00A35489"/>
    <w:rsid w:val="00A445D2"/>
    <w:rsid w:val="00A459DA"/>
    <w:rsid w:val="00A56EFE"/>
    <w:rsid w:val="00A573DA"/>
    <w:rsid w:val="00A60543"/>
    <w:rsid w:val="00A61A36"/>
    <w:rsid w:val="00A61CBC"/>
    <w:rsid w:val="00A9182D"/>
    <w:rsid w:val="00A938DF"/>
    <w:rsid w:val="00AA2569"/>
    <w:rsid w:val="00AA3DDF"/>
    <w:rsid w:val="00AA55E7"/>
    <w:rsid w:val="00AA5D2C"/>
    <w:rsid w:val="00AB0145"/>
    <w:rsid w:val="00AC38F1"/>
    <w:rsid w:val="00AE1921"/>
    <w:rsid w:val="00AE3471"/>
    <w:rsid w:val="00B064FE"/>
    <w:rsid w:val="00B17306"/>
    <w:rsid w:val="00B2021B"/>
    <w:rsid w:val="00B2342F"/>
    <w:rsid w:val="00B30857"/>
    <w:rsid w:val="00B320C8"/>
    <w:rsid w:val="00B32981"/>
    <w:rsid w:val="00B34F1E"/>
    <w:rsid w:val="00B56041"/>
    <w:rsid w:val="00B56728"/>
    <w:rsid w:val="00B76629"/>
    <w:rsid w:val="00B772E8"/>
    <w:rsid w:val="00B87619"/>
    <w:rsid w:val="00BA594D"/>
    <w:rsid w:val="00BB39B4"/>
    <w:rsid w:val="00BB4A26"/>
    <w:rsid w:val="00BC3FF4"/>
    <w:rsid w:val="00BC6E20"/>
    <w:rsid w:val="00BD2A71"/>
    <w:rsid w:val="00BE7855"/>
    <w:rsid w:val="00BF2002"/>
    <w:rsid w:val="00C04E49"/>
    <w:rsid w:val="00C12F53"/>
    <w:rsid w:val="00C3147A"/>
    <w:rsid w:val="00C31B9A"/>
    <w:rsid w:val="00C328C5"/>
    <w:rsid w:val="00C34459"/>
    <w:rsid w:val="00C42374"/>
    <w:rsid w:val="00C44600"/>
    <w:rsid w:val="00C452E6"/>
    <w:rsid w:val="00C46A6D"/>
    <w:rsid w:val="00C668BC"/>
    <w:rsid w:val="00C713AF"/>
    <w:rsid w:val="00C7369F"/>
    <w:rsid w:val="00C7727B"/>
    <w:rsid w:val="00C9175A"/>
    <w:rsid w:val="00C93EDC"/>
    <w:rsid w:val="00CA308E"/>
    <w:rsid w:val="00CB258C"/>
    <w:rsid w:val="00CB625D"/>
    <w:rsid w:val="00CB640D"/>
    <w:rsid w:val="00CB694E"/>
    <w:rsid w:val="00CB6E71"/>
    <w:rsid w:val="00CB7CEB"/>
    <w:rsid w:val="00CC4316"/>
    <w:rsid w:val="00CC5D68"/>
    <w:rsid w:val="00CC5F92"/>
    <w:rsid w:val="00CD2A63"/>
    <w:rsid w:val="00CD3A4F"/>
    <w:rsid w:val="00CD4A43"/>
    <w:rsid w:val="00CD4C0E"/>
    <w:rsid w:val="00CE13EE"/>
    <w:rsid w:val="00CE1629"/>
    <w:rsid w:val="00CE6777"/>
    <w:rsid w:val="00CF5141"/>
    <w:rsid w:val="00D10EF3"/>
    <w:rsid w:val="00D11779"/>
    <w:rsid w:val="00D2240C"/>
    <w:rsid w:val="00D22EA1"/>
    <w:rsid w:val="00D246E6"/>
    <w:rsid w:val="00D30524"/>
    <w:rsid w:val="00D34BFB"/>
    <w:rsid w:val="00D45B3F"/>
    <w:rsid w:val="00D47C66"/>
    <w:rsid w:val="00D5681C"/>
    <w:rsid w:val="00D62E8B"/>
    <w:rsid w:val="00D70B47"/>
    <w:rsid w:val="00D71B76"/>
    <w:rsid w:val="00D81912"/>
    <w:rsid w:val="00D82F85"/>
    <w:rsid w:val="00D9060B"/>
    <w:rsid w:val="00D91AAB"/>
    <w:rsid w:val="00D96120"/>
    <w:rsid w:val="00DA4059"/>
    <w:rsid w:val="00DA782B"/>
    <w:rsid w:val="00DB6149"/>
    <w:rsid w:val="00DB6AEC"/>
    <w:rsid w:val="00DC16A1"/>
    <w:rsid w:val="00DE043F"/>
    <w:rsid w:val="00DE239D"/>
    <w:rsid w:val="00DE5270"/>
    <w:rsid w:val="00DF78D5"/>
    <w:rsid w:val="00E065E6"/>
    <w:rsid w:val="00E15F62"/>
    <w:rsid w:val="00E2025E"/>
    <w:rsid w:val="00E20C7C"/>
    <w:rsid w:val="00E21FEC"/>
    <w:rsid w:val="00E250E1"/>
    <w:rsid w:val="00E3104A"/>
    <w:rsid w:val="00E33F2F"/>
    <w:rsid w:val="00E367D7"/>
    <w:rsid w:val="00E47F0D"/>
    <w:rsid w:val="00E51481"/>
    <w:rsid w:val="00E63C2A"/>
    <w:rsid w:val="00E67B89"/>
    <w:rsid w:val="00E70703"/>
    <w:rsid w:val="00E71CF9"/>
    <w:rsid w:val="00E8783D"/>
    <w:rsid w:val="00E91C50"/>
    <w:rsid w:val="00EC13D1"/>
    <w:rsid w:val="00EC387B"/>
    <w:rsid w:val="00EC3AC8"/>
    <w:rsid w:val="00ED3DA5"/>
    <w:rsid w:val="00ED4360"/>
    <w:rsid w:val="00EE3024"/>
    <w:rsid w:val="00EF15A7"/>
    <w:rsid w:val="00F03F2E"/>
    <w:rsid w:val="00F2396E"/>
    <w:rsid w:val="00F27168"/>
    <w:rsid w:val="00F279ED"/>
    <w:rsid w:val="00F315D4"/>
    <w:rsid w:val="00F323E6"/>
    <w:rsid w:val="00F568F8"/>
    <w:rsid w:val="00F57D39"/>
    <w:rsid w:val="00F63C3D"/>
    <w:rsid w:val="00F64690"/>
    <w:rsid w:val="00F66B8C"/>
    <w:rsid w:val="00F712F1"/>
    <w:rsid w:val="00F770D2"/>
    <w:rsid w:val="00F923EA"/>
    <w:rsid w:val="00F95B92"/>
    <w:rsid w:val="00F97753"/>
    <w:rsid w:val="00FB27E8"/>
    <w:rsid w:val="00FC043E"/>
    <w:rsid w:val="00FC2864"/>
    <w:rsid w:val="00FC35AA"/>
    <w:rsid w:val="00FC61BA"/>
    <w:rsid w:val="00FC6552"/>
    <w:rsid w:val="00FC6DE3"/>
    <w:rsid w:val="00FD18E8"/>
    <w:rsid w:val="00FD35F7"/>
    <w:rsid w:val="00FD598D"/>
    <w:rsid w:val="00FE1590"/>
    <w:rsid w:val="010B3948"/>
    <w:rsid w:val="01101074"/>
    <w:rsid w:val="01217126"/>
    <w:rsid w:val="012B229E"/>
    <w:rsid w:val="014E162C"/>
    <w:rsid w:val="016C0EE2"/>
    <w:rsid w:val="02386DED"/>
    <w:rsid w:val="025314F7"/>
    <w:rsid w:val="0265445D"/>
    <w:rsid w:val="02D73148"/>
    <w:rsid w:val="030453AE"/>
    <w:rsid w:val="030809BC"/>
    <w:rsid w:val="03373AD8"/>
    <w:rsid w:val="03977175"/>
    <w:rsid w:val="039F70AB"/>
    <w:rsid w:val="0411401C"/>
    <w:rsid w:val="04135E75"/>
    <w:rsid w:val="041820F7"/>
    <w:rsid w:val="041934B5"/>
    <w:rsid w:val="04490EF7"/>
    <w:rsid w:val="04510F28"/>
    <w:rsid w:val="04532F6D"/>
    <w:rsid w:val="0473443B"/>
    <w:rsid w:val="04983962"/>
    <w:rsid w:val="04F0089A"/>
    <w:rsid w:val="04F57CB6"/>
    <w:rsid w:val="05077243"/>
    <w:rsid w:val="052B6E9A"/>
    <w:rsid w:val="05564EFC"/>
    <w:rsid w:val="055B29BE"/>
    <w:rsid w:val="05A776EC"/>
    <w:rsid w:val="05C353B7"/>
    <w:rsid w:val="05E352FF"/>
    <w:rsid w:val="05FE3012"/>
    <w:rsid w:val="05FF4882"/>
    <w:rsid w:val="06987B87"/>
    <w:rsid w:val="06A6484D"/>
    <w:rsid w:val="06FE618B"/>
    <w:rsid w:val="0700460A"/>
    <w:rsid w:val="07241FC1"/>
    <w:rsid w:val="073F3FAD"/>
    <w:rsid w:val="074673CE"/>
    <w:rsid w:val="07612E4F"/>
    <w:rsid w:val="076B491A"/>
    <w:rsid w:val="077405F8"/>
    <w:rsid w:val="07BF00EB"/>
    <w:rsid w:val="07C36D3C"/>
    <w:rsid w:val="07D828E8"/>
    <w:rsid w:val="08121B74"/>
    <w:rsid w:val="08167C42"/>
    <w:rsid w:val="08404DAF"/>
    <w:rsid w:val="08AD5FBF"/>
    <w:rsid w:val="08AE3D8F"/>
    <w:rsid w:val="08C40E4F"/>
    <w:rsid w:val="08CB015E"/>
    <w:rsid w:val="099A59BE"/>
    <w:rsid w:val="09BE25EF"/>
    <w:rsid w:val="09C307B2"/>
    <w:rsid w:val="09EC00D0"/>
    <w:rsid w:val="0A1B6017"/>
    <w:rsid w:val="0A203EBA"/>
    <w:rsid w:val="0A28616D"/>
    <w:rsid w:val="0A3C7ACB"/>
    <w:rsid w:val="0A5F2415"/>
    <w:rsid w:val="0A611320"/>
    <w:rsid w:val="0A7261C4"/>
    <w:rsid w:val="0A9039B5"/>
    <w:rsid w:val="0ABE41FC"/>
    <w:rsid w:val="0AC51E53"/>
    <w:rsid w:val="0ACF126A"/>
    <w:rsid w:val="0AF40904"/>
    <w:rsid w:val="0B666235"/>
    <w:rsid w:val="0B746993"/>
    <w:rsid w:val="0B8C4EBE"/>
    <w:rsid w:val="0B8F1810"/>
    <w:rsid w:val="0BCE49B8"/>
    <w:rsid w:val="0BF54884"/>
    <w:rsid w:val="0BF83F8B"/>
    <w:rsid w:val="0C260AA4"/>
    <w:rsid w:val="0C3C3331"/>
    <w:rsid w:val="0C724FCF"/>
    <w:rsid w:val="0C956F1C"/>
    <w:rsid w:val="0CCB512F"/>
    <w:rsid w:val="0CDC1EF1"/>
    <w:rsid w:val="0CE122C7"/>
    <w:rsid w:val="0CF82BBE"/>
    <w:rsid w:val="0CF874A0"/>
    <w:rsid w:val="0D323447"/>
    <w:rsid w:val="0D442323"/>
    <w:rsid w:val="0D7B5FA6"/>
    <w:rsid w:val="0D805B31"/>
    <w:rsid w:val="0D96387A"/>
    <w:rsid w:val="0DB3114B"/>
    <w:rsid w:val="0DD827B0"/>
    <w:rsid w:val="0DE95938"/>
    <w:rsid w:val="0E2B5FC4"/>
    <w:rsid w:val="0E353715"/>
    <w:rsid w:val="0E374F4D"/>
    <w:rsid w:val="0E9D521E"/>
    <w:rsid w:val="0EBE3D82"/>
    <w:rsid w:val="0EDC3D8A"/>
    <w:rsid w:val="0EE71048"/>
    <w:rsid w:val="0EFE0647"/>
    <w:rsid w:val="0F14685F"/>
    <w:rsid w:val="0F5D6329"/>
    <w:rsid w:val="0F8534AF"/>
    <w:rsid w:val="0F8E730E"/>
    <w:rsid w:val="0FC21AF1"/>
    <w:rsid w:val="0FCD15E1"/>
    <w:rsid w:val="101C6263"/>
    <w:rsid w:val="10A15110"/>
    <w:rsid w:val="10C74BC3"/>
    <w:rsid w:val="10D67049"/>
    <w:rsid w:val="11057A29"/>
    <w:rsid w:val="11597571"/>
    <w:rsid w:val="117345CF"/>
    <w:rsid w:val="118A479F"/>
    <w:rsid w:val="11A90054"/>
    <w:rsid w:val="11C31071"/>
    <w:rsid w:val="128216FC"/>
    <w:rsid w:val="12B102B6"/>
    <w:rsid w:val="12BC6ADA"/>
    <w:rsid w:val="12D1468D"/>
    <w:rsid w:val="12D42BC5"/>
    <w:rsid w:val="12DD0250"/>
    <w:rsid w:val="1305086F"/>
    <w:rsid w:val="13447E53"/>
    <w:rsid w:val="135D7E3E"/>
    <w:rsid w:val="136C1A8B"/>
    <w:rsid w:val="13DE484F"/>
    <w:rsid w:val="13E059D8"/>
    <w:rsid w:val="13E838C3"/>
    <w:rsid w:val="1401495C"/>
    <w:rsid w:val="14562D20"/>
    <w:rsid w:val="147E29C4"/>
    <w:rsid w:val="148A0850"/>
    <w:rsid w:val="149B55BB"/>
    <w:rsid w:val="14A23CA5"/>
    <w:rsid w:val="14F506DF"/>
    <w:rsid w:val="1518571F"/>
    <w:rsid w:val="15216417"/>
    <w:rsid w:val="1550219D"/>
    <w:rsid w:val="156A21BB"/>
    <w:rsid w:val="157C3443"/>
    <w:rsid w:val="158A0E2F"/>
    <w:rsid w:val="1591135F"/>
    <w:rsid w:val="15B6581C"/>
    <w:rsid w:val="15E35C59"/>
    <w:rsid w:val="16120B34"/>
    <w:rsid w:val="161E3831"/>
    <w:rsid w:val="16314852"/>
    <w:rsid w:val="164503B1"/>
    <w:rsid w:val="1669027F"/>
    <w:rsid w:val="166D6821"/>
    <w:rsid w:val="16AD276A"/>
    <w:rsid w:val="16C0636A"/>
    <w:rsid w:val="16D73B9B"/>
    <w:rsid w:val="16E7256D"/>
    <w:rsid w:val="16F1585D"/>
    <w:rsid w:val="16F73E50"/>
    <w:rsid w:val="1703052F"/>
    <w:rsid w:val="170F7801"/>
    <w:rsid w:val="172A7A81"/>
    <w:rsid w:val="17316A11"/>
    <w:rsid w:val="1735619F"/>
    <w:rsid w:val="17BA0099"/>
    <w:rsid w:val="17D76A70"/>
    <w:rsid w:val="17E05B24"/>
    <w:rsid w:val="17E475A7"/>
    <w:rsid w:val="180A7E84"/>
    <w:rsid w:val="181B3EE0"/>
    <w:rsid w:val="184D4047"/>
    <w:rsid w:val="185E5E92"/>
    <w:rsid w:val="18A55BA0"/>
    <w:rsid w:val="18BF04CA"/>
    <w:rsid w:val="18CC26A0"/>
    <w:rsid w:val="18D816DD"/>
    <w:rsid w:val="18FE0C77"/>
    <w:rsid w:val="19072C89"/>
    <w:rsid w:val="192E7A29"/>
    <w:rsid w:val="194A6DEE"/>
    <w:rsid w:val="195B2210"/>
    <w:rsid w:val="19CF7D1D"/>
    <w:rsid w:val="19FD0F7D"/>
    <w:rsid w:val="1A122BAC"/>
    <w:rsid w:val="1A945FDA"/>
    <w:rsid w:val="1A9E09A2"/>
    <w:rsid w:val="1AD151DC"/>
    <w:rsid w:val="1AE81E33"/>
    <w:rsid w:val="1AFB598A"/>
    <w:rsid w:val="1B3C2093"/>
    <w:rsid w:val="1B8172BA"/>
    <w:rsid w:val="1BEB0603"/>
    <w:rsid w:val="1BF5163C"/>
    <w:rsid w:val="1C396180"/>
    <w:rsid w:val="1C554074"/>
    <w:rsid w:val="1CB74AF8"/>
    <w:rsid w:val="1CE12611"/>
    <w:rsid w:val="1D0956B0"/>
    <w:rsid w:val="1D1D4288"/>
    <w:rsid w:val="1D8832D0"/>
    <w:rsid w:val="1D8C0EEB"/>
    <w:rsid w:val="1DB71EA4"/>
    <w:rsid w:val="1DBC32CC"/>
    <w:rsid w:val="1DD75A15"/>
    <w:rsid w:val="1DF062AA"/>
    <w:rsid w:val="1E123809"/>
    <w:rsid w:val="1E93504C"/>
    <w:rsid w:val="1EC164F9"/>
    <w:rsid w:val="1EC62311"/>
    <w:rsid w:val="1ECB4115"/>
    <w:rsid w:val="1ED648A2"/>
    <w:rsid w:val="1EF40904"/>
    <w:rsid w:val="1F4535D2"/>
    <w:rsid w:val="1F4A64F0"/>
    <w:rsid w:val="1F50096E"/>
    <w:rsid w:val="1FA13568"/>
    <w:rsid w:val="1FB20F80"/>
    <w:rsid w:val="1FBB3E4C"/>
    <w:rsid w:val="1FEB5BCE"/>
    <w:rsid w:val="20140922"/>
    <w:rsid w:val="20180F5A"/>
    <w:rsid w:val="2018579B"/>
    <w:rsid w:val="20236F7B"/>
    <w:rsid w:val="203052EF"/>
    <w:rsid w:val="20424C45"/>
    <w:rsid w:val="206B71B7"/>
    <w:rsid w:val="207F28E4"/>
    <w:rsid w:val="208E2F20"/>
    <w:rsid w:val="20C15ACC"/>
    <w:rsid w:val="20D46A65"/>
    <w:rsid w:val="20DD38FB"/>
    <w:rsid w:val="210B2523"/>
    <w:rsid w:val="214758C8"/>
    <w:rsid w:val="215F2F87"/>
    <w:rsid w:val="21924E40"/>
    <w:rsid w:val="21AC3CBB"/>
    <w:rsid w:val="21B46FD6"/>
    <w:rsid w:val="22143566"/>
    <w:rsid w:val="22702C3C"/>
    <w:rsid w:val="22C31ACC"/>
    <w:rsid w:val="22D96C6E"/>
    <w:rsid w:val="22E144B9"/>
    <w:rsid w:val="22F56408"/>
    <w:rsid w:val="235F1F4E"/>
    <w:rsid w:val="23C924A3"/>
    <w:rsid w:val="23FA6358"/>
    <w:rsid w:val="242C472A"/>
    <w:rsid w:val="24416977"/>
    <w:rsid w:val="246B272C"/>
    <w:rsid w:val="24716C00"/>
    <w:rsid w:val="24726B19"/>
    <w:rsid w:val="24960F68"/>
    <w:rsid w:val="2503390B"/>
    <w:rsid w:val="25590D2E"/>
    <w:rsid w:val="257F6E87"/>
    <w:rsid w:val="259728ED"/>
    <w:rsid w:val="260A7623"/>
    <w:rsid w:val="260F68DC"/>
    <w:rsid w:val="26164C2C"/>
    <w:rsid w:val="261937F8"/>
    <w:rsid w:val="26210161"/>
    <w:rsid w:val="265C448F"/>
    <w:rsid w:val="266F4AC0"/>
    <w:rsid w:val="26F51CF0"/>
    <w:rsid w:val="271274C8"/>
    <w:rsid w:val="271437E5"/>
    <w:rsid w:val="271F0562"/>
    <w:rsid w:val="275F173E"/>
    <w:rsid w:val="279C4A76"/>
    <w:rsid w:val="27E40D23"/>
    <w:rsid w:val="281A0DE0"/>
    <w:rsid w:val="282B3721"/>
    <w:rsid w:val="288D4DCB"/>
    <w:rsid w:val="28A03E44"/>
    <w:rsid w:val="28BD2098"/>
    <w:rsid w:val="28F112E9"/>
    <w:rsid w:val="29370E2B"/>
    <w:rsid w:val="295F69FD"/>
    <w:rsid w:val="29605799"/>
    <w:rsid w:val="2972351B"/>
    <w:rsid w:val="297D7839"/>
    <w:rsid w:val="298C122F"/>
    <w:rsid w:val="29931EFE"/>
    <w:rsid w:val="29D17ACD"/>
    <w:rsid w:val="2A27671D"/>
    <w:rsid w:val="2A5E4A2D"/>
    <w:rsid w:val="2A5F1EE3"/>
    <w:rsid w:val="2A7039FA"/>
    <w:rsid w:val="2A9F1EE5"/>
    <w:rsid w:val="2AC52645"/>
    <w:rsid w:val="2AEC0EE3"/>
    <w:rsid w:val="2B791411"/>
    <w:rsid w:val="2B8A6812"/>
    <w:rsid w:val="2B8B5ADD"/>
    <w:rsid w:val="2B997D99"/>
    <w:rsid w:val="2BA51779"/>
    <w:rsid w:val="2BB554A0"/>
    <w:rsid w:val="2BBC670B"/>
    <w:rsid w:val="2BC372BF"/>
    <w:rsid w:val="2BE14644"/>
    <w:rsid w:val="2BF3009E"/>
    <w:rsid w:val="2BF563B6"/>
    <w:rsid w:val="2BF92252"/>
    <w:rsid w:val="2C0C5D66"/>
    <w:rsid w:val="2C163AB3"/>
    <w:rsid w:val="2C4B56FD"/>
    <w:rsid w:val="2CFE743E"/>
    <w:rsid w:val="2D3E335A"/>
    <w:rsid w:val="2D4F0C5B"/>
    <w:rsid w:val="2D5B3ED2"/>
    <w:rsid w:val="2D7E2CE1"/>
    <w:rsid w:val="2D95754F"/>
    <w:rsid w:val="2DE63550"/>
    <w:rsid w:val="2E345010"/>
    <w:rsid w:val="2E356F1C"/>
    <w:rsid w:val="2E5B0BAA"/>
    <w:rsid w:val="2E747245"/>
    <w:rsid w:val="2E7B5515"/>
    <w:rsid w:val="2E80262C"/>
    <w:rsid w:val="2E8E55A2"/>
    <w:rsid w:val="2EBF312A"/>
    <w:rsid w:val="2F1B0C41"/>
    <w:rsid w:val="2F35770D"/>
    <w:rsid w:val="2F563728"/>
    <w:rsid w:val="2F7064A9"/>
    <w:rsid w:val="2F790EEA"/>
    <w:rsid w:val="2F910F28"/>
    <w:rsid w:val="2FAA4235"/>
    <w:rsid w:val="2FBB378A"/>
    <w:rsid w:val="2FCE1913"/>
    <w:rsid w:val="3011303E"/>
    <w:rsid w:val="305A5114"/>
    <w:rsid w:val="309B19F3"/>
    <w:rsid w:val="309D4842"/>
    <w:rsid w:val="31154245"/>
    <w:rsid w:val="3129366B"/>
    <w:rsid w:val="312E3D35"/>
    <w:rsid w:val="313B6363"/>
    <w:rsid w:val="31471787"/>
    <w:rsid w:val="318530CB"/>
    <w:rsid w:val="31C702B0"/>
    <w:rsid w:val="31C7581C"/>
    <w:rsid w:val="31FA6E30"/>
    <w:rsid w:val="32214CCF"/>
    <w:rsid w:val="32413F95"/>
    <w:rsid w:val="32841CEB"/>
    <w:rsid w:val="32AE3111"/>
    <w:rsid w:val="32AE5EB1"/>
    <w:rsid w:val="32B01164"/>
    <w:rsid w:val="32C31C3E"/>
    <w:rsid w:val="32E75198"/>
    <w:rsid w:val="32F41FEE"/>
    <w:rsid w:val="33085D0F"/>
    <w:rsid w:val="33120384"/>
    <w:rsid w:val="33810AA9"/>
    <w:rsid w:val="33816DE8"/>
    <w:rsid w:val="33C45D22"/>
    <w:rsid w:val="33CE4596"/>
    <w:rsid w:val="33D0235F"/>
    <w:rsid w:val="33FB2010"/>
    <w:rsid w:val="3414233A"/>
    <w:rsid w:val="342D2F4C"/>
    <w:rsid w:val="3436767D"/>
    <w:rsid w:val="34445644"/>
    <w:rsid w:val="344D5906"/>
    <w:rsid w:val="34BD74EF"/>
    <w:rsid w:val="34DE0A84"/>
    <w:rsid w:val="352E44E0"/>
    <w:rsid w:val="353C1D89"/>
    <w:rsid w:val="35AB1C50"/>
    <w:rsid w:val="35CA7E7F"/>
    <w:rsid w:val="35E65469"/>
    <w:rsid w:val="362121FD"/>
    <w:rsid w:val="363458B5"/>
    <w:rsid w:val="365E25A6"/>
    <w:rsid w:val="366F22F9"/>
    <w:rsid w:val="367718E2"/>
    <w:rsid w:val="367C1DE6"/>
    <w:rsid w:val="36902F67"/>
    <w:rsid w:val="36A11A50"/>
    <w:rsid w:val="36DD645F"/>
    <w:rsid w:val="36E013AA"/>
    <w:rsid w:val="36FB6CBC"/>
    <w:rsid w:val="370E247C"/>
    <w:rsid w:val="373A6521"/>
    <w:rsid w:val="376572BA"/>
    <w:rsid w:val="3779207F"/>
    <w:rsid w:val="378033F2"/>
    <w:rsid w:val="37905F6F"/>
    <w:rsid w:val="37CC0A5F"/>
    <w:rsid w:val="38276F88"/>
    <w:rsid w:val="385F7FB3"/>
    <w:rsid w:val="388B7097"/>
    <w:rsid w:val="38CB4EFA"/>
    <w:rsid w:val="38D43A47"/>
    <w:rsid w:val="39094BEB"/>
    <w:rsid w:val="394F2F60"/>
    <w:rsid w:val="39874D5B"/>
    <w:rsid w:val="39AF107B"/>
    <w:rsid w:val="39C42C80"/>
    <w:rsid w:val="39D2704A"/>
    <w:rsid w:val="39E71E61"/>
    <w:rsid w:val="3A01675D"/>
    <w:rsid w:val="3A2D607D"/>
    <w:rsid w:val="3A304B82"/>
    <w:rsid w:val="3A65690B"/>
    <w:rsid w:val="3AB85121"/>
    <w:rsid w:val="3AC7536D"/>
    <w:rsid w:val="3B1C7227"/>
    <w:rsid w:val="3B2026DA"/>
    <w:rsid w:val="3B33259E"/>
    <w:rsid w:val="3B717795"/>
    <w:rsid w:val="3BA70405"/>
    <w:rsid w:val="3BC84AFF"/>
    <w:rsid w:val="3BEF0559"/>
    <w:rsid w:val="3BFF47DD"/>
    <w:rsid w:val="3C8904FE"/>
    <w:rsid w:val="3C93557D"/>
    <w:rsid w:val="3CA108EF"/>
    <w:rsid w:val="3CC6562F"/>
    <w:rsid w:val="3CCA750F"/>
    <w:rsid w:val="3CCF5ECB"/>
    <w:rsid w:val="3CDF3B6C"/>
    <w:rsid w:val="3D0D3CA6"/>
    <w:rsid w:val="3D5928A2"/>
    <w:rsid w:val="3D9B258F"/>
    <w:rsid w:val="3DBB5872"/>
    <w:rsid w:val="3E0A2450"/>
    <w:rsid w:val="3E2717D4"/>
    <w:rsid w:val="3E5C6E3C"/>
    <w:rsid w:val="3E7E7BC3"/>
    <w:rsid w:val="3E821713"/>
    <w:rsid w:val="3EB1400A"/>
    <w:rsid w:val="3EFF15E9"/>
    <w:rsid w:val="3FCB5070"/>
    <w:rsid w:val="4013222A"/>
    <w:rsid w:val="401F7231"/>
    <w:rsid w:val="402D7056"/>
    <w:rsid w:val="406C3A1C"/>
    <w:rsid w:val="40835A34"/>
    <w:rsid w:val="40A77872"/>
    <w:rsid w:val="40F20393"/>
    <w:rsid w:val="413C1DEF"/>
    <w:rsid w:val="41613D21"/>
    <w:rsid w:val="418F66E7"/>
    <w:rsid w:val="41943608"/>
    <w:rsid w:val="41AB2056"/>
    <w:rsid w:val="42AC01A6"/>
    <w:rsid w:val="42BA28C9"/>
    <w:rsid w:val="42BF7E0D"/>
    <w:rsid w:val="431A3BF5"/>
    <w:rsid w:val="431E27E9"/>
    <w:rsid w:val="432B5B5A"/>
    <w:rsid w:val="432C29F8"/>
    <w:rsid w:val="432C4F11"/>
    <w:rsid w:val="43445EB9"/>
    <w:rsid w:val="435B1432"/>
    <w:rsid w:val="4387119E"/>
    <w:rsid w:val="43915AA5"/>
    <w:rsid w:val="44007B3D"/>
    <w:rsid w:val="441F0953"/>
    <w:rsid w:val="442561E5"/>
    <w:rsid w:val="44301A6B"/>
    <w:rsid w:val="44846BA7"/>
    <w:rsid w:val="448C3398"/>
    <w:rsid w:val="44B2345E"/>
    <w:rsid w:val="44C00E0B"/>
    <w:rsid w:val="44C83D5E"/>
    <w:rsid w:val="45024F17"/>
    <w:rsid w:val="450512E4"/>
    <w:rsid w:val="45084A63"/>
    <w:rsid w:val="450918BE"/>
    <w:rsid w:val="450B5FA3"/>
    <w:rsid w:val="454C39CF"/>
    <w:rsid w:val="45522D89"/>
    <w:rsid w:val="457F1627"/>
    <w:rsid w:val="458836E4"/>
    <w:rsid w:val="45CB6E7C"/>
    <w:rsid w:val="45D058AB"/>
    <w:rsid w:val="45D73891"/>
    <w:rsid w:val="45F546B3"/>
    <w:rsid w:val="46161596"/>
    <w:rsid w:val="4621277E"/>
    <w:rsid w:val="46227A58"/>
    <w:rsid w:val="46301962"/>
    <w:rsid w:val="469D5685"/>
    <w:rsid w:val="46DC499C"/>
    <w:rsid w:val="471B0919"/>
    <w:rsid w:val="47323E53"/>
    <w:rsid w:val="47873FCF"/>
    <w:rsid w:val="47925C0D"/>
    <w:rsid w:val="47BA6B22"/>
    <w:rsid w:val="47C77F3D"/>
    <w:rsid w:val="47D739D1"/>
    <w:rsid w:val="47E026A8"/>
    <w:rsid w:val="47F842BB"/>
    <w:rsid w:val="48044CC1"/>
    <w:rsid w:val="485D74DA"/>
    <w:rsid w:val="48611DCE"/>
    <w:rsid w:val="48801BF2"/>
    <w:rsid w:val="48A77D23"/>
    <w:rsid w:val="48E00D27"/>
    <w:rsid w:val="48FA06BF"/>
    <w:rsid w:val="490043D7"/>
    <w:rsid w:val="49283791"/>
    <w:rsid w:val="49CF7306"/>
    <w:rsid w:val="49DE2269"/>
    <w:rsid w:val="4A01274B"/>
    <w:rsid w:val="4A190565"/>
    <w:rsid w:val="4A2F3D8B"/>
    <w:rsid w:val="4A521CF9"/>
    <w:rsid w:val="4A7D062C"/>
    <w:rsid w:val="4A8D4CD8"/>
    <w:rsid w:val="4AB717FD"/>
    <w:rsid w:val="4AC00AD9"/>
    <w:rsid w:val="4B04386B"/>
    <w:rsid w:val="4B26345B"/>
    <w:rsid w:val="4B8D6575"/>
    <w:rsid w:val="4B8F5180"/>
    <w:rsid w:val="4BA431FD"/>
    <w:rsid w:val="4BA84559"/>
    <w:rsid w:val="4BD6702A"/>
    <w:rsid w:val="4C136657"/>
    <w:rsid w:val="4C1D3282"/>
    <w:rsid w:val="4C323396"/>
    <w:rsid w:val="4C626CBE"/>
    <w:rsid w:val="4C696BB2"/>
    <w:rsid w:val="4D290841"/>
    <w:rsid w:val="4D4C026C"/>
    <w:rsid w:val="4D4C1B7C"/>
    <w:rsid w:val="4D8D1BB0"/>
    <w:rsid w:val="4DB50BBB"/>
    <w:rsid w:val="4DBC44F5"/>
    <w:rsid w:val="4DD97B67"/>
    <w:rsid w:val="4E0A2097"/>
    <w:rsid w:val="4E3255F9"/>
    <w:rsid w:val="4E3A1F4C"/>
    <w:rsid w:val="4E5F77D3"/>
    <w:rsid w:val="4E784BF9"/>
    <w:rsid w:val="4ECE6E81"/>
    <w:rsid w:val="4F217595"/>
    <w:rsid w:val="4F23722E"/>
    <w:rsid w:val="4F331B0A"/>
    <w:rsid w:val="4F433AB6"/>
    <w:rsid w:val="4F511B86"/>
    <w:rsid w:val="4F8373E9"/>
    <w:rsid w:val="4FB80ECC"/>
    <w:rsid w:val="4FF06B5C"/>
    <w:rsid w:val="502C02AC"/>
    <w:rsid w:val="502F64C4"/>
    <w:rsid w:val="506031A2"/>
    <w:rsid w:val="50642398"/>
    <w:rsid w:val="508B0F78"/>
    <w:rsid w:val="508C14AE"/>
    <w:rsid w:val="50DB1D23"/>
    <w:rsid w:val="50DD6673"/>
    <w:rsid w:val="50E128B5"/>
    <w:rsid w:val="510B4074"/>
    <w:rsid w:val="51345C2E"/>
    <w:rsid w:val="513B59F9"/>
    <w:rsid w:val="517A1ECB"/>
    <w:rsid w:val="518846F4"/>
    <w:rsid w:val="51A95D48"/>
    <w:rsid w:val="51BE1A5C"/>
    <w:rsid w:val="52236383"/>
    <w:rsid w:val="52560130"/>
    <w:rsid w:val="53711370"/>
    <w:rsid w:val="539212CB"/>
    <w:rsid w:val="5397369A"/>
    <w:rsid w:val="53B03339"/>
    <w:rsid w:val="53D61DAB"/>
    <w:rsid w:val="54161886"/>
    <w:rsid w:val="543A627C"/>
    <w:rsid w:val="546F72E2"/>
    <w:rsid w:val="54A74AE8"/>
    <w:rsid w:val="54BC2092"/>
    <w:rsid w:val="54BC49CC"/>
    <w:rsid w:val="54C51B26"/>
    <w:rsid w:val="54CA2C35"/>
    <w:rsid w:val="54EA2E1D"/>
    <w:rsid w:val="54F83406"/>
    <w:rsid w:val="55D3529D"/>
    <w:rsid w:val="55DA6C38"/>
    <w:rsid w:val="55FE4D2E"/>
    <w:rsid w:val="56441D4B"/>
    <w:rsid w:val="568838BD"/>
    <w:rsid w:val="569735D6"/>
    <w:rsid w:val="56C14AD2"/>
    <w:rsid w:val="56D47C8B"/>
    <w:rsid w:val="56D71D19"/>
    <w:rsid w:val="56EE6FC3"/>
    <w:rsid w:val="56F70912"/>
    <w:rsid w:val="57152329"/>
    <w:rsid w:val="57153CFA"/>
    <w:rsid w:val="57343A84"/>
    <w:rsid w:val="5788266D"/>
    <w:rsid w:val="57CF1AFC"/>
    <w:rsid w:val="57CF2A63"/>
    <w:rsid w:val="57D44505"/>
    <w:rsid w:val="57FC519D"/>
    <w:rsid w:val="5821598A"/>
    <w:rsid w:val="58280A85"/>
    <w:rsid w:val="5860041A"/>
    <w:rsid w:val="587344BA"/>
    <w:rsid w:val="58C43042"/>
    <w:rsid w:val="58E6718D"/>
    <w:rsid w:val="59031FE0"/>
    <w:rsid w:val="590B0CB2"/>
    <w:rsid w:val="59137EA1"/>
    <w:rsid w:val="597B7DAC"/>
    <w:rsid w:val="598C4E22"/>
    <w:rsid w:val="5998591C"/>
    <w:rsid w:val="59AB08AA"/>
    <w:rsid w:val="59AC412F"/>
    <w:rsid w:val="59C93FA2"/>
    <w:rsid w:val="59CE0A11"/>
    <w:rsid w:val="59E65FEB"/>
    <w:rsid w:val="5A0B5096"/>
    <w:rsid w:val="5A16072F"/>
    <w:rsid w:val="5A1631BA"/>
    <w:rsid w:val="5A5402A2"/>
    <w:rsid w:val="5ADF2BC4"/>
    <w:rsid w:val="5B1D51E0"/>
    <w:rsid w:val="5B202DB7"/>
    <w:rsid w:val="5B747BF4"/>
    <w:rsid w:val="5B845A20"/>
    <w:rsid w:val="5B8A1E7B"/>
    <w:rsid w:val="5BBB60DE"/>
    <w:rsid w:val="5BC37F2A"/>
    <w:rsid w:val="5BC80844"/>
    <w:rsid w:val="5BEE39EE"/>
    <w:rsid w:val="5C017C94"/>
    <w:rsid w:val="5C056F76"/>
    <w:rsid w:val="5C1976E4"/>
    <w:rsid w:val="5C357AA9"/>
    <w:rsid w:val="5C701D98"/>
    <w:rsid w:val="5C987611"/>
    <w:rsid w:val="5CA060C5"/>
    <w:rsid w:val="5CEF069F"/>
    <w:rsid w:val="5D14791E"/>
    <w:rsid w:val="5D2A1AF9"/>
    <w:rsid w:val="5D453C3B"/>
    <w:rsid w:val="5D487004"/>
    <w:rsid w:val="5D594BF1"/>
    <w:rsid w:val="5D773521"/>
    <w:rsid w:val="5D8876C0"/>
    <w:rsid w:val="5DE84D52"/>
    <w:rsid w:val="5E1E2023"/>
    <w:rsid w:val="5E301570"/>
    <w:rsid w:val="5E453527"/>
    <w:rsid w:val="5E6D2344"/>
    <w:rsid w:val="5EA007D5"/>
    <w:rsid w:val="5EAE7335"/>
    <w:rsid w:val="5EB62B23"/>
    <w:rsid w:val="5EBC1BC0"/>
    <w:rsid w:val="5EC4240D"/>
    <w:rsid w:val="5ECB7CB2"/>
    <w:rsid w:val="5EEA23E7"/>
    <w:rsid w:val="5F3446EC"/>
    <w:rsid w:val="5F4601D2"/>
    <w:rsid w:val="5F51071D"/>
    <w:rsid w:val="5F946799"/>
    <w:rsid w:val="5FA85987"/>
    <w:rsid w:val="5FCC4A3B"/>
    <w:rsid w:val="5FE1332B"/>
    <w:rsid w:val="5FE25153"/>
    <w:rsid w:val="5FE70DB2"/>
    <w:rsid w:val="600D2832"/>
    <w:rsid w:val="60313D0E"/>
    <w:rsid w:val="60654976"/>
    <w:rsid w:val="60B55DF0"/>
    <w:rsid w:val="60C167F5"/>
    <w:rsid w:val="60F116A1"/>
    <w:rsid w:val="61940F9E"/>
    <w:rsid w:val="619871BF"/>
    <w:rsid w:val="62081189"/>
    <w:rsid w:val="622562D4"/>
    <w:rsid w:val="623863CF"/>
    <w:rsid w:val="62457A36"/>
    <w:rsid w:val="625A5036"/>
    <w:rsid w:val="630A4D06"/>
    <w:rsid w:val="631A3297"/>
    <w:rsid w:val="63202643"/>
    <w:rsid w:val="63242D7D"/>
    <w:rsid w:val="63312ABC"/>
    <w:rsid w:val="633430EF"/>
    <w:rsid w:val="63464076"/>
    <w:rsid w:val="635521D4"/>
    <w:rsid w:val="63976B0A"/>
    <w:rsid w:val="63D92FF7"/>
    <w:rsid w:val="641C4719"/>
    <w:rsid w:val="6469531E"/>
    <w:rsid w:val="64721490"/>
    <w:rsid w:val="647E20B9"/>
    <w:rsid w:val="648A1EDD"/>
    <w:rsid w:val="6513767B"/>
    <w:rsid w:val="65316A3F"/>
    <w:rsid w:val="655E726A"/>
    <w:rsid w:val="65847250"/>
    <w:rsid w:val="659159E0"/>
    <w:rsid w:val="65A65583"/>
    <w:rsid w:val="662E215E"/>
    <w:rsid w:val="663D2BA6"/>
    <w:rsid w:val="66621FB1"/>
    <w:rsid w:val="6673110F"/>
    <w:rsid w:val="669E4CD1"/>
    <w:rsid w:val="66A177F0"/>
    <w:rsid w:val="66A3642B"/>
    <w:rsid w:val="677041C3"/>
    <w:rsid w:val="67932768"/>
    <w:rsid w:val="67BF6666"/>
    <w:rsid w:val="67C72261"/>
    <w:rsid w:val="681713A0"/>
    <w:rsid w:val="682F64FB"/>
    <w:rsid w:val="68431CD7"/>
    <w:rsid w:val="685E3AF8"/>
    <w:rsid w:val="687222D4"/>
    <w:rsid w:val="687262EE"/>
    <w:rsid w:val="68AA06E6"/>
    <w:rsid w:val="68E92704"/>
    <w:rsid w:val="68EC1525"/>
    <w:rsid w:val="6949084E"/>
    <w:rsid w:val="695317D8"/>
    <w:rsid w:val="69551339"/>
    <w:rsid w:val="69B37AD5"/>
    <w:rsid w:val="69D81CC3"/>
    <w:rsid w:val="69F36B59"/>
    <w:rsid w:val="6A026357"/>
    <w:rsid w:val="6A0F6105"/>
    <w:rsid w:val="6A2B742B"/>
    <w:rsid w:val="6B1D3C6C"/>
    <w:rsid w:val="6B6D26F9"/>
    <w:rsid w:val="6B73175E"/>
    <w:rsid w:val="6BB9001B"/>
    <w:rsid w:val="6C3B4F95"/>
    <w:rsid w:val="6C3F539C"/>
    <w:rsid w:val="6C6F383A"/>
    <w:rsid w:val="6C722310"/>
    <w:rsid w:val="6C7B43CF"/>
    <w:rsid w:val="6CB81528"/>
    <w:rsid w:val="6CDF68F6"/>
    <w:rsid w:val="6DAC56A8"/>
    <w:rsid w:val="6DBB395B"/>
    <w:rsid w:val="6DDC27FC"/>
    <w:rsid w:val="6DFF649B"/>
    <w:rsid w:val="6E07739D"/>
    <w:rsid w:val="6E35382A"/>
    <w:rsid w:val="6E3D70C9"/>
    <w:rsid w:val="6E596FDF"/>
    <w:rsid w:val="6E5D346D"/>
    <w:rsid w:val="6E6338C9"/>
    <w:rsid w:val="6E6D330E"/>
    <w:rsid w:val="6E835D81"/>
    <w:rsid w:val="6E887CC6"/>
    <w:rsid w:val="6EC95BB5"/>
    <w:rsid w:val="6ECC4939"/>
    <w:rsid w:val="6ED16507"/>
    <w:rsid w:val="6EDA57EB"/>
    <w:rsid w:val="6F064617"/>
    <w:rsid w:val="6F2638F7"/>
    <w:rsid w:val="6F324D9B"/>
    <w:rsid w:val="6F8921DF"/>
    <w:rsid w:val="6F9E10CB"/>
    <w:rsid w:val="6FCC76EC"/>
    <w:rsid w:val="6FE055FF"/>
    <w:rsid w:val="7002062B"/>
    <w:rsid w:val="701F593C"/>
    <w:rsid w:val="70795486"/>
    <w:rsid w:val="708A060A"/>
    <w:rsid w:val="708B771A"/>
    <w:rsid w:val="708D4E24"/>
    <w:rsid w:val="70BC417B"/>
    <w:rsid w:val="70CA7BE4"/>
    <w:rsid w:val="70EB6D98"/>
    <w:rsid w:val="712E5F00"/>
    <w:rsid w:val="71507E2D"/>
    <w:rsid w:val="716B3B70"/>
    <w:rsid w:val="719E2896"/>
    <w:rsid w:val="719F4175"/>
    <w:rsid w:val="71B83D86"/>
    <w:rsid w:val="71DC349D"/>
    <w:rsid w:val="71E50872"/>
    <w:rsid w:val="72016186"/>
    <w:rsid w:val="722E067A"/>
    <w:rsid w:val="725E471C"/>
    <w:rsid w:val="72695636"/>
    <w:rsid w:val="72697766"/>
    <w:rsid w:val="727076CA"/>
    <w:rsid w:val="729161D4"/>
    <w:rsid w:val="72D00DBA"/>
    <w:rsid w:val="72E44EA9"/>
    <w:rsid w:val="73070284"/>
    <w:rsid w:val="731E03FF"/>
    <w:rsid w:val="73342B57"/>
    <w:rsid w:val="73362414"/>
    <w:rsid w:val="735C31AA"/>
    <w:rsid w:val="73CE4D54"/>
    <w:rsid w:val="73D00FEC"/>
    <w:rsid w:val="73E94160"/>
    <w:rsid w:val="74183CA4"/>
    <w:rsid w:val="74184B94"/>
    <w:rsid w:val="74354C38"/>
    <w:rsid w:val="74541BF6"/>
    <w:rsid w:val="74595216"/>
    <w:rsid w:val="74666A39"/>
    <w:rsid w:val="746D71FF"/>
    <w:rsid w:val="74BD21D6"/>
    <w:rsid w:val="750F0B45"/>
    <w:rsid w:val="753E632D"/>
    <w:rsid w:val="754522A8"/>
    <w:rsid w:val="754E0857"/>
    <w:rsid w:val="75692383"/>
    <w:rsid w:val="756E4A55"/>
    <w:rsid w:val="757E594B"/>
    <w:rsid w:val="765827F1"/>
    <w:rsid w:val="76921381"/>
    <w:rsid w:val="76A63D4C"/>
    <w:rsid w:val="76A64DA8"/>
    <w:rsid w:val="76B17B92"/>
    <w:rsid w:val="77156754"/>
    <w:rsid w:val="772421D7"/>
    <w:rsid w:val="776C537E"/>
    <w:rsid w:val="778F44B3"/>
    <w:rsid w:val="77DC25F4"/>
    <w:rsid w:val="77DD1FE3"/>
    <w:rsid w:val="77E51C14"/>
    <w:rsid w:val="784D63B3"/>
    <w:rsid w:val="78965CA5"/>
    <w:rsid w:val="7899373E"/>
    <w:rsid w:val="78DA0FD5"/>
    <w:rsid w:val="796D4B0A"/>
    <w:rsid w:val="797A7FEC"/>
    <w:rsid w:val="798A1737"/>
    <w:rsid w:val="798E7ABA"/>
    <w:rsid w:val="79910164"/>
    <w:rsid w:val="799227FA"/>
    <w:rsid w:val="799B43B4"/>
    <w:rsid w:val="79A76F9E"/>
    <w:rsid w:val="79DB4318"/>
    <w:rsid w:val="79DB6D91"/>
    <w:rsid w:val="79F41B3D"/>
    <w:rsid w:val="79F44FEF"/>
    <w:rsid w:val="7A094ADF"/>
    <w:rsid w:val="7A270594"/>
    <w:rsid w:val="7A6D38D2"/>
    <w:rsid w:val="7A802F5E"/>
    <w:rsid w:val="7ADA6572"/>
    <w:rsid w:val="7B4F19E1"/>
    <w:rsid w:val="7B6C62EC"/>
    <w:rsid w:val="7BBC6F2E"/>
    <w:rsid w:val="7C1F1D00"/>
    <w:rsid w:val="7C6A3D8A"/>
    <w:rsid w:val="7C6D2FD6"/>
    <w:rsid w:val="7C6D762B"/>
    <w:rsid w:val="7C714704"/>
    <w:rsid w:val="7C9F12C0"/>
    <w:rsid w:val="7CDA22D4"/>
    <w:rsid w:val="7CEF4EA3"/>
    <w:rsid w:val="7D141EE6"/>
    <w:rsid w:val="7D157E26"/>
    <w:rsid w:val="7D396A9B"/>
    <w:rsid w:val="7D50605A"/>
    <w:rsid w:val="7DC20B66"/>
    <w:rsid w:val="7DCC63F7"/>
    <w:rsid w:val="7DF94174"/>
    <w:rsid w:val="7E263F99"/>
    <w:rsid w:val="7E2729D7"/>
    <w:rsid w:val="7E2B360E"/>
    <w:rsid w:val="7E36530A"/>
    <w:rsid w:val="7E5B025B"/>
    <w:rsid w:val="7E5E4D04"/>
    <w:rsid w:val="7E734923"/>
    <w:rsid w:val="7E825AFB"/>
    <w:rsid w:val="7E966B01"/>
    <w:rsid w:val="7ED81184"/>
    <w:rsid w:val="7F1E556D"/>
    <w:rsid w:val="7F326DFE"/>
    <w:rsid w:val="7F5162A8"/>
    <w:rsid w:val="7F5A725C"/>
    <w:rsid w:val="7F854F4A"/>
    <w:rsid w:val="7F946E0A"/>
    <w:rsid w:val="7FA96DF2"/>
    <w:rsid w:val="7FBA3805"/>
    <w:rsid w:val="7FD97C5B"/>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nhideWhenUsed="0" w:uiPriority="1" w:semiHidden="0" w:name="footnote text"/>
    <w:lsdException w:qFormat="1" w:unhideWhenUsed="0" w:uiPriority="0" w:name="annotation text"/>
    <w:lsdException w:qFormat="1" w:unhideWhenUsed="0" w:uiPriority="1"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name="Body Text 2"/>
    <w:lsdException w:qFormat="1" w:unhideWhenUsed="0" w:uiPriority="0" w:name="Body Text 3"/>
    <w:lsdException w:qFormat="1"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jc w:val="both"/>
    </w:pPr>
    <w:rPr>
      <w:rFonts w:ascii="CG Times" w:hAnsi="CG Times" w:cs="Times New Roman" w:eastAsiaTheme="minorEastAsia"/>
      <w:sz w:val="22"/>
      <w:lang w:val="en-GB" w:eastAsia="en-US" w:bidi="ar-SA"/>
    </w:rPr>
  </w:style>
  <w:style w:type="paragraph" w:styleId="2">
    <w:name w:val="heading 1"/>
    <w:basedOn w:val="1"/>
    <w:next w:val="3"/>
    <w:qFormat/>
    <w:uiPriority w:val="0"/>
    <w:pPr>
      <w:keepNext/>
      <w:tabs>
        <w:tab w:val="left" w:pos="22"/>
      </w:tabs>
      <w:spacing w:before="100" w:after="100"/>
      <w:outlineLvl w:val="0"/>
    </w:pPr>
    <w:rPr>
      <w:b/>
      <w:caps/>
      <w:kern w:val="28"/>
      <w:sz w:val="20"/>
    </w:rPr>
  </w:style>
  <w:style w:type="paragraph" w:styleId="4">
    <w:name w:val="heading 2"/>
    <w:basedOn w:val="1"/>
    <w:next w:val="3"/>
    <w:qFormat/>
    <w:uiPriority w:val="0"/>
    <w:pPr>
      <w:tabs>
        <w:tab w:val="left" w:pos="22"/>
      </w:tabs>
      <w:outlineLvl w:val="1"/>
    </w:pPr>
    <w:rPr>
      <w:kern w:val="24"/>
    </w:rPr>
  </w:style>
  <w:style w:type="paragraph" w:styleId="5">
    <w:name w:val="heading 3"/>
    <w:basedOn w:val="1"/>
    <w:next w:val="6"/>
    <w:qFormat/>
    <w:uiPriority w:val="0"/>
    <w:pPr>
      <w:tabs>
        <w:tab w:val="left" w:pos="50"/>
      </w:tabs>
      <w:outlineLvl w:val="2"/>
    </w:pPr>
  </w:style>
  <w:style w:type="paragraph" w:styleId="7">
    <w:name w:val="heading 4"/>
    <w:basedOn w:val="1"/>
    <w:next w:val="8"/>
    <w:qFormat/>
    <w:uiPriority w:val="0"/>
    <w:pPr>
      <w:numPr>
        <w:ilvl w:val="0"/>
        <w:numId w:val="1"/>
      </w:numPr>
      <w:tabs>
        <w:tab w:val="left" w:pos="68"/>
      </w:tabs>
      <w:outlineLvl w:val="3"/>
    </w:pPr>
  </w:style>
  <w:style w:type="paragraph" w:styleId="9">
    <w:name w:val="heading 5"/>
    <w:basedOn w:val="1"/>
    <w:next w:val="10"/>
    <w:qFormat/>
    <w:uiPriority w:val="0"/>
    <w:pPr>
      <w:tabs>
        <w:tab w:val="left" w:pos="86"/>
      </w:tabs>
      <w:outlineLvl w:val="4"/>
    </w:pPr>
  </w:style>
  <w:style w:type="paragraph" w:styleId="11">
    <w:name w:val="heading 6"/>
    <w:basedOn w:val="1"/>
    <w:next w:val="12"/>
    <w:qFormat/>
    <w:uiPriority w:val="0"/>
    <w:pPr>
      <w:tabs>
        <w:tab w:val="left" w:pos="104"/>
      </w:tabs>
      <w:outlineLvl w:val="5"/>
    </w:pPr>
  </w:style>
  <w:style w:type="paragraph" w:styleId="13">
    <w:name w:val="heading 7"/>
    <w:basedOn w:val="1"/>
    <w:next w:val="1"/>
    <w:qFormat/>
    <w:uiPriority w:val="0"/>
    <w:pPr>
      <w:spacing w:after="0"/>
      <w:outlineLvl w:val="6"/>
    </w:pPr>
  </w:style>
  <w:style w:type="paragraph" w:styleId="14">
    <w:name w:val="heading 8"/>
    <w:basedOn w:val="1"/>
    <w:next w:val="1"/>
    <w:qFormat/>
    <w:uiPriority w:val="0"/>
    <w:pPr>
      <w:spacing w:after="0"/>
      <w:outlineLvl w:val="7"/>
    </w:pPr>
  </w:style>
  <w:style w:type="paragraph" w:styleId="15">
    <w:name w:val="heading 9"/>
    <w:basedOn w:val="1"/>
    <w:next w:val="1"/>
    <w:qFormat/>
    <w:uiPriority w:val="0"/>
    <w:pPr>
      <w:pageBreakBefore/>
      <w:tabs>
        <w:tab w:val="left" w:pos="1440"/>
      </w:tabs>
      <w:suppressAutoHyphens/>
      <w:spacing w:after="300" w:line="336" w:lineRule="auto"/>
      <w:jc w:val="center"/>
      <w:outlineLvl w:val="8"/>
    </w:pPr>
    <w:rPr>
      <w:b/>
      <w:smallCaps/>
      <w:sz w:val="21"/>
    </w:rPr>
  </w:style>
  <w:style w:type="character" w:default="1" w:styleId="16">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Body Text"/>
    <w:basedOn w:val="1"/>
    <w:link w:val="89"/>
    <w:qFormat/>
    <w:uiPriority w:val="0"/>
    <w:pPr>
      <w:ind w:left="624"/>
    </w:pPr>
  </w:style>
  <w:style w:type="paragraph" w:styleId="6">
    <w:name w:val="Body Text 2"/>
    <w:basedOn w:val="1"/>
    <w:link w:val="153"/>
    <w:semiHidden/>
    <w:qFormat/>
    <w:uiPriority w:val="0"/>
    <w:pPr>
      <w:ind w:left="1417"/>
    </w:pPr>
  </w:style>
  <w:style w:type="paragraph" w:styleId="8">
    <w:name w:val="Body Text 3"/>
    <w:basedOn w:val="1"/>
    <w:link w:val="84"/>
    <w:semiHidden/>
    <w:qFormat/>
    <w:uiPriority w:val="0"/>
    <w:pPr>
      <w:ind w:left="1928"/>
    </w:pPr>
  </w:style>
  <w:style w:type="paragraph" w:customStyle="1" w:styleId="10">
    <w:name w:val="Body Text 4"/>
    <w:basedOn w:val="1"/>
    <w:qFormat/>
    <w:uiPriority w:val="0"/>
    <w:pPr>
      <w:ind w:left="2438"/>
    </w:pPr>
  </w:style>
  <w:style w:type="paragraph" w:customStyle="1" w:styleId="12">
    <w:name w:val="Body Text 5"/>
    <w:basedOn w:val="1"/>
    <w:qFormat/>
    <w:uiPriority w:val="0"/>
    <w:pPr>
      <w:ind w:left="2948"/>
    </w:pPr>
  </w:style>
  <w:style w:type="paragraph" w:styleId="18">
    <w:name w:val="Balloon Text"/>
    <w:basedOn w:val="1"/>
    <w:link w:val="151"/>
    <w:semiHidden/>
    <w:unhideWhenUsed/>
    <w:qFormat/>
    <w:uiPriority w:val="99"/>
    <w:pPr>
      <w:spacing w:after="0"/>
    </w:pPr>
    <w:rPr>
      <w:rFonts w:ascii="Segoe UI" w:hAnsi="Segoe UI" w:cs="Segoe UI"/>
      <w:sz w:val="18"/>
      <w:szCs w:val="18"/>
    </w:rPr>
  </w:style>
  <w:style w:type="paragraph" w:styleId="19">
    <w:name w:val="Body Text Indent 2"/>
    <w:basedOn w:val="1"/>
    <w:link w:val="90"/>
    <w:semiHidden/>
    <w:unhideWhenUsed/>
    <w:qFormat/>
    <w:uiPriority w:val="99"/>
    <w:pPr>
      <w:spacing w:after="120" w:line="480" w:lineRule="auto"/>
      <w:ind w:left="283"/>
    </w:pPr>
  </w:style>
  <w:style w:type="character" w:styleId="20">
    <w:name w:val="annotation reference"/>
    <w:basedOn w:val="16"/>
    <w:semiHidden/>
    <w:qFormat/>
    <w:uiPriority w:val="0"/>
    <w:rPr>
      <w:sz w:val="16"/>
    </w:rPr>
  </w:style>
  <w:style w:type="paragraph" w:styleId="21">
    <w:name w:val="annotation text"/>
    <w:basedOn w:val="1"/>
    <w:semiHidden/>
    <w:qFormat/>
    <w:uiPriority w:val="0"/>
    <w:rPr>
      <w:sz w:val="20"/>
    </w:rPr>
  </w:style>
  <w:style w:type="character" w:styleId="22">
    <w:name w:val="endnote reference"/>
    <w:basedOn w:val="16"/>
    <w:semiHidden/>
    <w:qFormat/>
    <w:uiPriority w:val="0"/>
    <w:rPr>
      <w:rFonts w:ascii="CG Times" w:hAnsi="CG Times"/>
      <w:vertAlign w:val="superscript"/>
    </w:rPr>
  </w:style>
  <w:style w:type="paragraph" w:styleId="23">
    <w:name w:val="endnote text"/>
    <w:basedOn w:val="1"/>
    <w:semiHidden/>
    <w:qFormat/>
    <w:uiPriority w:val="0"/>
    <w:pPr>
      <w:tabs>
        <w:tab w:val="left" w:pos="113"/>
      </w:tabs>
      <w:spacing w:after="100"/>
      <w:ind w:left="113" w:hanging="113"/>
    </w:pPr>
    <w:rPr>
      <w:sz w:val="18"/>
    </w:rPr>
  </w:style>
  <w:style w:type="paragraph" w:styleId="24">
    <w:name w:val="footer"/>
    <w:basedOn w:val="1"/>
    <w:link w:val="62"/>
    <w:qFormat/>
    <w:uiPriority w:val="0"/>
    <w:pPr>
      <w:spacing w:after="0"/>
      <w:jc w:val="left"/>
    </w:pPr>
    <w:rPr>
      <w:rFonts w:ascii="Times New Roman" w:hAnsi="Times New Roman"/>
      <w:sz w:val="16"/>
    </w:rPr>
  </w:style>
  <w:style w:type="character" w:styleId="25">
    <w:name w:val="footnote reference"/>
    <w:basedOn w:val="16"/>
    <w:qFormat/>
    <w:uiPriority w:val="99"/>
    <w:rPr>
      <w:rFonts w:ascii="CG Times" w:hAnsi="CG Times"/>
      <w:vertAlign w:val="superscript"/>
    </w:rPr>
  </w:style>
  <w:style w:type="paragraph" w:styleId="26">
    <w:name w:val="footnote text"/>
    <w:basedOn w:val="1"/>
    <w:link w:val="48"/>
    <w:qFormat/>
    <w:uiPriority w:val="1"/>
    <w:pPr>
      <w:tabs>
        <w:tab w:val="left" w:pos="113"/>
      </w:tabs>
      <w:spacing w:after="100"/>
      <w:ind w:left="113" w:hanging="113"/>
    </w:pPr>
    <w:rPr>
      <w:sz w:val="18"/>
    </w:rPr>
  </w:style>
  <w:style w:type="paragraph" w:styleId="27">
    <w:name w:val="header"/>
    <w:basedOn w:val="1"/>
    <w:link w:val="88"/>
    <w:qFormat/>
    <w:uiPriority w:val="1"/>
    <w:pPr>
      <w:spacing w:after="0"/>
    </w:pPr>
    <w:rPr>
      <w:sz w:val="16"/>
    </w:rPr>
  </w:style>
  <w:style w:type="character" w:styleId="28">
    <w:name w:val="Hyperlink"/>
    <w:basedOn w:val="16"/>
    <w:unhideWhenUsed/>
    <w:qFormat/>
    <w:uiPriority w:val="0"/>
    <w:rPr>
      <w:color w:val="0000FF" w:themeColor="hyperlink"/>
      <w:u w:val="single"/>
      <w14:textFill>
        <w14:solidFill>
          <w14:schemeClr w14:val="hlink"/>
        </w14:solidFill>
      </w14:textFill>
    </w:rPr>
  </w:style>
  <w:style w:type="character" w:styleId="29">
    <w:name w:val="page number"/>
    <w:basedOn w:val="16"/>
    <w:qFormat/>
    <w:uiPriority w:val="0"/>
    <w:rPr>
      <w:rFonts w:ascii="Times New Roman" w:hAnsi="Times New Roman" w:cs="Times New Roman"/>
      <w:sz w:val="24"/>
    </w:rPr>
  </w:style>
  <w:style w:type="paragraph" w:styleId="30">
    <w:name w:val="Signature"/>
    <w:basedOn w:val="1"/>
    <w:semiHidden/>
    <w:qFormat/>
    <w:uiPriority w:val="0"/>
    <w:pPr>
      <w:ind w:left="4252"/>
    </w:pPr>
  </w:style>
  <w:style w:type="paragraph" w:styleId="31">
    <w:name w:val="Subtitle"/>
    <w:basedOn w:val="1"/>
    <w:next w:val="1"/>
    <w:link w:val="86"/>
    <w:qFormat/>
    <w:uiPriority w:val="11"/>
    <w:pPr>
      <w:spacing w:after="160"/>
    </w:pPr>
    <w:rPr>
      <w:rFonts w:asciiTheme="minorHAnsi" w:hAnsiTheme="minorHAnsi" w:cstheme="minorBidi"/>
      <w:color w:val="595959" w:themeColor="text1" w:themeTint="A6"/>
      <w:spacing w:val="15"/>
      <w:szCs w:val="22"/>
      <w14:textFill>
        <w14:solidFill>
          <w14:schemeClr w14:val="tx1">
            <w14:lumMod w14:val="65000"/>
            <w14:lumOff w14:val="35000"/>
          </w14:schemeClr>
        </w14:solidFill>
      </w14:textFill>
    </w:rPr>
  </w:style>
  <w:style w:type="table" w:styleId="32">
    <w:name w:val="Table Grid"/>
    <w:basedOn w:val="17"/>
    <w:qFormat/>
    <w:uiPriority w:val="0"/>
    <w:pPr>
      <w:jc w:val="both"/>
    </w:pPr>
    <w:rPr>
      <w:rFonts w:eastAsia="SimSun" w:cs="Simplified Arabic"/>
      <w:lang w:bidi="ar-A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3">
    <w:name w:val="Title"/>
    <w:basedOn w:val="1"/>
    <w:next w:val="3"/>
    <w:link w:val="60"/>
    <w:qFormat/>
    <w:uiPriority w:val="0"/>
    <w:pPr>
      <w:spacing w:after="240"/>
      <w:jc w:val="center"/>
    </w:pPr>
    <w:rPr>
      <w:rFonts w:ascii="Times New Roman" w:hAnsi="Times New Roman" w:eastAsia="SimSun" w:cs="Simplified Arabic"/>
      <w:b/>
      <w:bCs/>
      <w:sz w:val="24"/>
      <w:szCs w:val="24"/>
      <w:lang w:eastAsia="zh-CN" w:bidi="ar-AE"/>
    </w:rPr>
  </w:style>
  <w:style w:type="paragraph" w:styleId="34">
    <w:name w:val="toc 1"/>
    <w:basedOn w:val="1"/>
    <w:next w:val="1"/>
    <w:qFormat/>
    <w:uiPriority w:val="39"/>
    <w:pPr>
      <w:ind w:left="720" w:hanging="720"/>
      <w:jc w:val="left"/>
    </w:pPr>
    <w:rPr>
      <w:rFonts w:ascii="Arial" w:hAnsi="Arial"/>
      <w:caps/>
      <w:sz w:val="21"/>
    </w:rPr>
  </w:style>
  <w:style w:type="paragraph" w:styleId="35">
    <w:name w:val="toc 2"/>
    <w:basedOn w:val="1"/>
    <w:next w:val="1"/>
    <w:qFormat/>
    <w:uiPriority w:val="39"/>
    <w:pPr>
      <w:tabs>
        <w:tab w:val="left" w:pos="1440"/>
        <w:tab w:val="right" w:leader="dot" w:pos="9015"/>
      </w:tabs>
      <w:ind w:left="720"/>
      <w:jc w:val="left"/>
    </w:pPr>
    <w:rPr>
      <w:caps/>
    </w:rPr>
  </w:style>
  <w:style w:type="paragraph" w:styleId="36">
    <w:name w:val="toc 3"/>
    <w:basedOn w:val="1"/>
    <w:next w:val="1"/>
    <w:semiHidden/>
    <w:qFormat/>
    <w:uiPriority w:val="0"/>
    <w:pPr>
      <w:jc w:val="left"/>
    </w:pPr>
  </w:style>
  <w:style w:type="paragraph" w:styleId="37">
    <w:name w:val="toc 4"/>
    <w:basedOn w:val="1"/>
    <w:next w:val="1"/>
    <w:semiHidden/>
    <w:qFormat/>
    <w:uiPriority w:val="0"/>
    <w:pPr>
      <w:jc w:val="left"/>
    </w:pPr>
  </w:style>
  <w:style w:type="paragraph" w:styleId="38">
    <w:name w:val="toc 5"/>
    <w:basedOn w:val="1"/>
    <w:next w:val="1"/>
    <w:semiHidden/>
    <w:unhideWhenUsed/>
    <w:qFormat/>
    <w:uiPriority w:val="39"/>
    <w:pPr>
      <w:spacing w:after="100"/>
      <w:ind w:left="880"/>
      <w:jc w:val="left"/>
    </w:pPr>
  </w:style>
  <w:style w:type="paragraph" w:styleId="39">
    <w:name w:val="toc 6"/>
    <w:basedOn w:val="1"/>
    <w:next w:val="1"/>
    <w:semiHidden/>
    <w:unhideWhenUsed/>
    <w:qFormat/>
    <w:uiPriority w:val="39"/>
    <w:pPr>
      <w:spacing w:after="100"/>
      <w:ind w:left="1100"/>
      <w:jc w:val="left"/>
    </w:pPr>
  </w:style>
  <w:style w:type="paragraph" w:styleId="40">
    <w:name w:val="toc 7"/>
    <w:basedOn w:val="1"/>
    <w:next w:val="1"/>
    <w:semiHidden/>
    <w:unhideWhenUsed/>
    <w:qFormat/>
    <w:uiPriority w:val="39"/>
    <w:pPr>
      <w:spacing w:after="100"/>
      <w:ind w:left="1320"/>
      <w:jc w:val="left"/>
    </w:pPr>
  </w:style>
  <w:style w:type="paragraph" w:styleId="41">
    <w:name w:val="toc 8"/>
    <w:basedOn w:val="1"/>
    <w:next w:val="1"/>
    <w:semiHidden/>
    <w:unhideWhenUsed/>
    <w:qFormat/>
    <w:uiPriority w:val="39"/>
    <w:pPr>
      <w:spacing w:after="100"/>
      <w:ind w:left="1540"/>
      <w:jc w:val="left"/>
    </w:pPr>
  </w:style>
  <w:style w:type="paragraph" w:styleId="42">
    <w:name w:val="toc 9"/>
    <w:basedOn w:val="1"/>
    <w:next w:val="1"/>
    <w:semiHidden/>
    <w:unhideWhenUsed/>
    <w:qFormat/>
    <w:uiPriority w:val="39"/>
    <w:pPr>
      <w:spacing w:after="100"/>
      <w:ind w:left="1760"/>
      <w:jc w:val="left"/>
    </w:pPr>
  </w:style>
  <w:style w:type="paragraph" w:customStyle="1" w:styleId="43">
    <w:name w:val="Right Tab"/>
    <w:basedOn w:val="1"/>
    <w:next w:val="1"/>
    <w:qFormat/>
    <w:uiPriority w:val="0"/>
    <w:pPr>
      <w:tabs>
        <w:tab w:val="right" w:pos="8505"/>
      </w:tabs>
      <w:spacing w:after="100"/>
    </w:pPr>
  </w:style>
  <w:style w:type="paragraph" w:customStyle="1" w:styleId="44">
    <w:name w:val="Footer Right"/>
    <w:basedOn w:val="24"/>
    <w:link w:val="45"/>
    <w:qFormat/>
    <w:uiPriority w:val="0"/>
    <w:pPr>
      <w:jc w:val="right"/>
    </w:pPr>
  </w:style>
  <w:style w:type="character" w:customStyle="1" w:styleId="45">
    <w:name w:val="Footer Right Char"/>
    <w:basedOn w:val="16"/>
    <w:link w:val="44"/>
    <w:qFormat/>
    <w:uiPriority w:val="0"/>
    <w:rPr>
      <w:sz w:val="16"/>
      <w:lang w:eastAsia="en-US"/>
    </w:rPr>
  </w:style>
  <w:style w:type="character" w:styleId="46">
    <w:name w:val="Placeholder Text"/>
    <w:basedOn w:val="16"/>
    <w:semiHidden/>
    <w:qFormat/>
    <w:uiPriority w:val="99"/>
    <w:rPr>
      <w:color w:val="808080"/>
    </w:rPr>
  </w:style>
  <w:style w:type="paragraph" w:styleId="47">
    <w:name w:val="List Paragraph"/>
    <w:basedOn w:val="1"/>
    <w:qFormat/>
    <w:uiPriority w:val="0"/>
    <w:pPr>
      <w:ind w:left="720"/>
      <w:contextualSpacing/>
    </w:pPr>
  </w:style>
  <w:style w:type="character" w:customStyle="1" w:styleId="48">
    <w:name w:val="Footnote Text Char"/>
    <w:basedOn w:val="16"/>
    <w:link w:val="26"/>
    <w:qFormat/>
    <w:uiPriority w:val="1"/>
    <w:rPr>
      <w:rFonts w:ascii="CG Times" w:hAnsi="CG Times"/>
      <w:sz w:val="18"/>
      <w:lang w:eastAsia="en-US"/>
    </w:rPr>
  </w:style>
  <w:style w:type="paragraph" w:customStyle="1" w:styleId="49">
    <w:name w:val="Note Continuation"/>
    <w:basedOn w:val="1"/>
    <w:qFormat/>
    <w:uiPriority w:val="0"/>
    <w:pPr>
      <w:spacing w:after="120"/>
      <w:ind w:left="340"/>
    </w:pPr>
    <w:rPr>
      <w:rFonts w:ascii="Times New Roman" w:hAnsi="Times New Roman" w:eastAsia="SimSun" w:cs="Simplified Arabic"/>
      <w:sz w:val="20"/>
      <w:lang w:eastAsia="zh-CN" w:bidi="ar-AE"/>
    </w:rPr>
  </w:style>
  <w:style w:type="paragraph" w:customStyle="1" w:styleId="50">
    <w:name w:val="Table L9"/>
    <w:basedOn w:val="1"/>
    <w:qFormat/>
    <w:uiPriority w:val="0"/>
    <w:pPr>
      <w:numPr>
        <w:ilvl w:val="8"/>
        <w:numId w:val="2"/>
      </w:numPr>
      <w:suppressAutoHyphens/>
      <w:spacing w:after="240"/>
      <w:outlineLvl w:val="8"/>
    </w:pPr>
    <w:rPr>
      <w:rFonts w:ascii="Times New Roman" w:hAnsi="Times New Roman" w:eastAsia="SimSun" w:cs="Simplified Arabic"/>
      <w:sz w:val="24"/>
      <w:szCs w:val="24"/>
      <w:lang w:eastAsia="zh-CN" w:bidi="ar-AE"/>
    </w:rPr>
  </w:style>
  <w:style w:type="paragraph" w:customStyle="1" w:styleId="51">
    <w:name w:val="Table L8"/>
    <w:basedOn w:val="1"/>
    <w:qFormat/>
    <w:uiPriority w:val="0"/>
    <w:pPr>
      <w:numPr>
        <w:ilvl w:val="7"/>
        <w:numId w:val="2"/>
      </w:numPr>
      <w:suppressAutoHyphens/>
      <w:spacing w:after="240"/>
      <w:outlineLvl w:val="7"/>
    </w:pPr>
    <w:rPr>
      <w:rFonts w:ascii="Times New Roman" w:hAnsi="Times New Roman" w:eastAsia="SimSun" w:cs="Simplified Arabic"/>
      <w:sz w:val="24"/>
      <w:szCs w:val="24"/>
      <w:lang w:eastAsia="zh-CN" w:bidi="ar-AE"/>
    </w:rPr>
  </w:style>
  <w:style w:type="paragraph" w:customStyle="1" w:styleId="52">
    <w:name w:val="Table L7"/>
    <w:basedOn w:val="1"/>
    <w:qFormat/>
    <w:uiPriority w:val="0"/>
    <w:pPr>
      <w:numPr>
        <w:ilvl w:val="6"/>
        <w:numId w:val="2"/>
      </w:numPr>
      <w:suppressAutoHyphens/>
      <w:spacing w:after="240"/>
      <w:outlineLvl w:val="6"/>
    </w:pPr>
    <w:rPr>
      <w:rFonts w:ascii="Times New Roman" w:hAnsi="Times New Roman" w:eastAsia="SimSun" w:cs="Simplified Arabic"/>
      <w:sz w:val="24"/>
      <w:szCs w:val="24"/>
      <w:lang w:eastAsia="zh-CN" w:bidi="ar-AE"/>
    </w:rPr>
  </w:style>
  <w:style w:type="paragraph" w:customStyle="1" w:styleId="53">
    <w:name w:val="Table L6"/>
    <w:basedOn w:val="1"/>
    <w:qFormat/>
    <w:uiPriority w:val="0"/>
    <w:pPr>
      <w:numPr>
        <w:ilvl w:val="5"/>
        <w:numId w:val="2"/>
      </w:numPr>
      <w:suppressAutoHyphens/>
      <w:spacing w:after="240"/>
      <w:outlineLvl w:val="5"/>
    </w:pPr>
    <w:rPr>
      <w:rFonts w:ascii="Times New Roman" w:hAnsi="Times New Roman" w:eastAsia="SimSun" w:cs="Simplified Arabic"/>
      <w:sz w:val="24"/>
      <w:szCs w:val="24"/>
      <w:lang w:eastAsia="zh-CN" w:bidi="ar-AE"/>
    </w:rPr>
  </w:style>
  <w:style w:type="paragraph" w:customStyle="1" w:styleId="54">
    <w:name w:val="Table L5"/>
    <w:basedOn w:val="1"/>
    <w:qFormat/>
    <w:uiPriority w:val="0"/>
    <w:pPr>
      <w:numPr>
        <w:ilvl w:val="4"/>
        <w:numId w:val="2"/>
      </w:numPr>
      <w:suppressAutoHyphens/>
      <w:spacing w:after="240"/>
      <w:outlineLvl w:val="4"/>
    </w:pPr>
    <w:rPr>
      <w:rFonts w:ascii="Times New Roman" w:hAnsi="Times New Roman" w:eastAsia="SimSun" w:cs="Simplified Arabic"/>
      <w:sz w:val="24"/>
      <w:szCs w:val="24"/>
      <w:lang w:eastAsia="zh-CN" w:bidi="ar-AE"/>
    </w:rPr>
  </w:style>
  <w:style w:type="paragraph" w:customStyle="1" w:styleId="55">
    <w:name w:val="Table L4"/>
    <w:basedOn w:val="1"/>
    <w:qFormat/>
    <w:uiPriority w:val="0"/>
    <w:pPr>
      <w:numPr>
        <w:ilvl w:val="3"/>
        <w:numId w:val="2"/>
      </w:numPr>
      <w:suppressAutoHyphens/>
      <w:spacing w:after="240"/>
      <w:outlineLvl w:val="3"/>
    </w:pPr>
    <w:rPr>
      <w:rFonts w:ascii="Times New Roman" w:hAnsi="Times New Roman" w:eastAsia="SimSun" w:cs="Simplified Arabic"/>
      <w:sz w:val="24"/>
      <w:szCs w:val="24"/>
      <w:lang w:eastAsia="zh-CN" w:bidi="ar-AE"/>
    </w:rPr>
  </w:style>
  <w:style w:type="paragraph" w:customStyle="1" w:styleId="56">
    <w:name w:val="Table L3"/>
    <w:basedOn w:val="1"/>
    <w:link w:val="87"/>
    <w:qFormat/>
    <w:uiPriority w:val="0"/>
    <w:pPr>
      <w:numPr>
        <w:ilvl w:val="2"/>
        <w:numId w:val="2"/>
      </w:numPr>
      <w:suppressAutoHyphens/>
      <w:spacing w:after="240"/>
      <w:outlineLvl w:val="2"/>
    </w:pPr>
    <w:rPr>
      <w:rFonts w:ascii="Times New Roman" w:hAnsi="Times New Roman" w:eastAsia="SimSun" w:cs="Simplified Arabic"/>
      <w:sz w:val="24"/>
      <w:szCs w:val="24"/>
      <w:lang w:eastAsia="zh-CN" w:bidi="ar-AE"/>
    </w:rPr>
  </w:style>
  <w:style w:type="paragraph" w:customStyle="1" w:styleId="57">
    <w:name w:val="Table L2"/>
    <w:basedOn w:val="1"/>
    <w:link w:val="58"/>
    <w:qFormat/>
    <w:uiPriority w:val="0"/>
    <w:pPr>
      <w:numPr>
        <w:ilvl w:val="1"/>
        <w:numId w:val="2"/>
      </w:numPr>
      <w:suppressAutoHyphens/>
      <w:spacing w:after="240"/>
      <w:outlineLvl w:val="1"/>
    </w:pPr>
    <w:rPr>
      <w:rFonts w:ascii="Times New Roman" w:hAnsi="Times New Roman" w:eastAsia="SimSun" w:cs="Simplified Arabic"/>
      <w:sz w:val="24"/>
      <w:szCs w:val="24"/>
      <w:lang w:eastAsia="zh-CN" w:bidi="ar-AE"/>
    </w:rPr>
  </w:style>
  <w:style w:type="character" w:customStyle="1" w:styleId="58">
    <w:name w:val="Table L2 Char"/>
    <w:basedOn w:val="16"/>
    <w:link w:val="57"/>
    <w:qFormat/>
    <w:uiPriority w:val="0"/>
    <w:rPr>
      <w:rFonts w:eastAsia="SimSun" w:cs="Simplified Arabic"/>
      <w:sz w:val="24"/>
      <w:szCs w:val="24"/>
      <w:lang w:val="en-GB" w:eastAsia="zh-CN" w:bidi="ar-AE"/>
    </w:rPr>
  </w:style>
  <w:style w:type="paragraph" w:customStyle="1" w:styleId="59">
    <w:name w:val="Table L1"/>
    <w:basedOn w:val="1"/>
    <w:link w:val="61"/>
    <w:qFormat/>
    <w:uiPriority w:val="0"/>
    <w:pPr>
      <w:numPr>
        <w:ilvl w:val="0"/>
        <w:numId w:val="2"/>
      </w:numPr>
      <w:suppressAutoHyphens/>
      <w:spacing w:after="240"/>
      <w:outlineLvl w:val="0"/>
    </w:pPr>
    <w:rPr>
      <w:rFonts w:ascii="Times New Roman" w:hAnsi="Times New Roman" w:eastAsia="SimSun" w:cs="Simplified Arabic"/>
      <w:sz w:val="24"/>
      <w:szCs w:val="24"/>
      <w:lang w:eastAsia="zh-CN" w:bidi="ar-AE"/>
    </w:rPr>
  </w:style>
  <w:style w:type="character" w:customStyle="1" w:styleId="60">
    <w:name w:val="Title Char"/>
    <w:basedOn w:val="16"/>
    <w:link w:val="33"/>
    <w:qFormat/>
    <w:uiPriority w:val="0"/>
    <w:rPr>
      <w:rFonts w:eastAsia="SimSun" w:cs="Simplified Arabic"/>
      <w:b/>
      <w:bCs/>
      <w:sz w:val="24"/>
      <w:szCs w:val="24"/>
      <w:lang w:bidi="ar-AE"/>
    </w:rPr>
  </w:style>
  <w:style w:type="character" w:customStyle="1" w:styleId="61">
    <w:name w:val="Table L1 Char"/>
    <w:basedOn w:val="16"/>
    <w:link w:val="59"/>
    <w:qFormat/>
    <w:uiPriority w:val="0"/>
    <w:rPr>
      <w:rFonts w:eastAsia="SimSun" w:cs="Simplified Arabic"/>
      <w:sz w:val="24"/>
      <w:szCs w:val="24"/>
      <w:lang w:val="en-GB" w:eastAsia="zh-CN" w:bidi="ar-AE"/>
    </w:rPr>
  </w:style>
  <w:style w:type="character" w:customStyle="1" w:styleId="62">
    <w:name w:val="Footer Char"/>
    <w:basedOn w:val="16"/>
    <w:link w:val="24"/>
    <w:qFormat/>
    <w:uiPriority w:val="99"/>
    <w:rPr>
      <w:sz w:val="16"/>
      <w:lang w:eastAsia="en-US"/>
    </w:rPr>
  </w:style>
  <w:style w:type="paragraph" w:customStyle="1" w:styleId="63">
    <w:name w:val="Body Text 1"/>
    <w:basedOn w:val="1"/>
    <w:qFormat/>
    <w:uiPriority w:val="0"/>
    <w:pPr>
      <w:spacing w:after="240"/>
      <w:ind w:left="720"/>
    </w:pPr>
    <w:rPr>
      <w:rFonts w:ascii="Times New Roman" w:hAnsi="Times New Roman" w:eastAsia="SimSun"/>
      <w:sz w:val="24"/>
      <w:szCs w:val="24"/>
      <w:lang w:eastAsia="zh-CN" w:bidi="ar-AE"/>
    </w:rPr>
  </w:style>
  <w:style w:type="paragraph" w:customStyle="1" w:styleId="64">
    <w:name w:val="Definitions L9"/>
    <w:basedOn w:val="1"/>
    <w:qFormat/>
    <w:uiPriority w:val="0"/>
    <w:pPr>
      <w:numPr>
        <w:ilvl w:val="8"/>
        <w:numId w:val="3"/>
      </w:numPr>
      <w:spacing w:after="240"/>
    </w:pPr>
    <w:rPr>
      <w:rFonts w:ascii="Times New Roman" w:hAnsi="Times New Roman" w:eastAsia="SimSun"/>
      <w:sz w:val="24"/>
      <w:szCs w:val="16"/>
      <w:lang w:eastAsia="zh-CN" w:bidi="he-IL"/>
    </w:rPr>
  </w:style>
  <w:style w:type="paragraph" w:customStyle="1" w:styleId="65">
    <w:name w:val="Definitions L8"/>
    <w:basedOn w:val="1"/>
    <w:qFormat/>
    <w:uiPriority w:val="0"/>
    <w:pPr>
      <w:numPr>
        <w:ilvl w:val="7"/>
        <w:numId w:val="3"/>
      </w:numPr>
      <w:spacing w:after="240"/>
    </w:pPr>
    <w:rPr>
      <w:rFonts w:ascii="Times New Roman" w:hAnsi="Times New Roman" w:eastAsia="SimSun"/>
      <w:sz w:val="24"/>
      <w:szCs w:val="16"/>
      <w:lang w:eastAsia="zh-CN" w:bidi="he-IL"/>
    </w:rPr>
  </w:style>
  <w:style w:type="paragraph" w:customStyle="1" w:styleId="66">
    <w:name w:val="Definitions L7"/>
    <w:basedOn w:val="1"/>
    <w:qFormat/>
    <w:uiPriority w:val="0"/>
    <w:pPr>
      <w:numPr>
        <w:ilvl w:val="6"/>
        <w:numId w:val="3"/>
      </w:numPr>
      <w:spacing w:after="240"/>
    </w:pPr>
    <w:rPr>
      <w:rFonts w:ascii="Times New Roman" w:hAnsi="Times New Roman" w:eastAsia="SimSun"/>
      <w:sz w:val="24"/>
      <w:szCs w:val="16"/>
      <w:lang w:eastAsia="zh-CN" w:bidi="he-IL"/>
    </w:rPr>
  </w:style>
  <w:style w:type="paragraph" w:customStyle="1" w:styleId="67">
    <w:name w:val="Definitions L6"/>
    <w:basedOn w:val="1"/>
    <w:qFormat/>
    <w:uiPriority w:val="0"/>
    <w:pPr>
      <w:numPr>
        <w:ilvl w:val="5"/>
        <w:numId w:val="3"/>
      </w:numPr>
      <w:spacing w:after="240"/>
    </w:pPr>
    <w:rPr>
      <w:rFonts w:ascii="Times New Roman" w:hAnsi="Times New Roman" w:eastAsia="SimSun"/>
      <w:sz w:val="24"/>
      <w:szCs w:val="16"/>
      <w:lang w:eastAsia="zh-CN" w:bidi="he-IL"/>
    </w:rPr>
  </w:style>
  <w:style w:type="paragraph" w:customStyle="1" w:styleId="68">
    <w:name w:val="Definitions L5"/>
    <w:basedOn w:val="1"/>
    <w:next w:val="12"/>
    <w:qFormat/>
    <w:uiPriority w:val="0"/>
    <w:pPr>
      <w:numPr>
        <w:ilvl w:val="4"/>
        <w:numId w:val="3"/>
      </w:numPr>
      <w:spacing w:after="240"/>
      <w:outlineLvl w:val="4"/>
    </w:pPr>
    <w:rPr>
      <w:rFonts w:ascii="Times New Roman" w:hAnsi="Times New Roman" w:eastAsia="SimSun"/>
      <w:sz w:val="24"/>
      <w:szCs w:val="16"/>
      <w:lang w:eastAsia="zh-CN" w:bidi="he-IL"/>
    </w:rPr>
  </w:style>
  <w:style w:type="paragraph" w:customStyle="1" w:styleId="69">
    <w:name w:val="Definitions L4"/>
    <w:basedOn w:val="1"/>
    <w:next w:val="10"/>
    <w:qFormat/>
    <w:uiPriority w:val="0"/>
    <w:pPr>
      <w:numPr>
        <w:ilvl w:val="3"/>
        <w:numId w:val="3"/>
      </w:numPr>
      <w:spacing w:after="240"/>
      <w:outlineLvl w:val="3"/>
    </w:pPr>
    <w:rPr>
      <w:rFonts w:ascii="Times New Roman" w:hAnsi="Times New Roman" w:eastAsia="SimSun"/>
      <w:sz w:val="24"/>
      <w:szCs w:val="16"/>
      <w:lang w:eastAsia="zh-CN" w:bidi="he-IL"/>
    </w:rPr>
  </w:style>
  <w:style w:type="paragraph" w:customStyle="1" w:styleId="70">
    <w:name w:val="Definitions L3"/>
    <w:basedOn w:val="1"/>
    <w:next w:val="8"/>
    <w:link w:val="154"/>
    <w:qFormat/>
    <w:uiPriority w:val="0"/>
    <w:pPr>
      <w:numPr>
        <w:ilvl w:val="2"/>
        <w:numId w:val="3"/>
      </w:numPr>
      <w:spacing w:after="240"/>
      <w:outlineLvl w:val="2"/>
    </w:pPr>
    <w:rPr>
      <w:rFonts w:ascii="Times New Roman" w:hAnsi="Times New Roman" w:eastAsia="SimSun"/>
      <w:sz w:val="24"/>
      <w:szCs w:val="16"/>
      <w:lang w:eastAsia="zh-CN" w:bidi="he-IL"/>
    </w:rPr>
  </w:style>
  <w:style w:type="paragraph" w:customStyle="1" w:styleId="71">
    <w:name w:val="Definitions L2"/>
    <w:basedOn w:val="1"/>
    <w:next w:val="6"/>
    <w:link w:val="83"/>
    <w:qFormat/>
    <w:uiPriority w:val="0"/>
    <w:pPr>
      <w:numPr>
        <w:ilvl w:val="1"/>
        <w:numId w:val="3"/>
      </w:numPr>
      <w:spacing w:after="240"/>
      <w:outlineLvl w:val="1"/>
    </w:pPr>
    <w:rPr>
      <w:rFonts w:ascii="Times New Roman" w:hAnsi="Times New Roman" w:eastAsia="SimSun"/>
      <w:sz w:val="24"/>
      <w:szCs w:val="16"/>
      <w:lang w:eastAsia="zh-CN" w:bidi="he-IL"/>
    </w:rPr>
  </w:style>
  <w:style w:type="paragraph" w:customStyle="1" w:styleId="72">
    <w:name w:val="Definitions L1"/>
    <w:basedOn w:val="1"/>
    <w:next w:val="63"/>
    <w:qFormat/>
    <w:uiPriority w:val="0"/>
    <w:pPr>
      <w:numPr>
        <w:ilvl w:val="0"/>
        <w:numId w:val="3"/>
      </w:numPr>
      <w:spacing w:after="240"/>
      <w:outlineLvl w:val="0"/>
    </w:pPr>
    <w:rPr>
      <w:rFonts w:ascii="Times New Roman" w:hAnsi="Times New Roman" w:eastAsia="SimSun"/>
      <w:sz w:val="24"/>
      <w:szCs w:val="16"/>
      <w:lang w:eastAsia="zh-CN" w:bidi="he-IL"/>
    </w:rPr>
  </w:style>
  <w:style w:type="paragraph" w:customStyle="1" w:styleId="73">
    <w:name w:val="Schedule 1 L9"/>
    <w:basedOn w:val="1"/>
    <w:next w:val="1"/>
    <w:qFormat/>
    <w:uiPriority w:val="0"/>
    <w:pPr>
      <w:numPr>
        <w:ilvl w:val="8"/>
        <w:numId w:val="4"/>
      </w:numPr>
      <w:spacing w:after="240"/>
      <w:outlineLvl w:val="8"/>
    </w:pPr>
    <w:rPr>
      <w:rFonts w:ascii="Times New Roman" w:hAnsi="Times New Roman" w:eastAsia="SimSun"/>
      <w:sz w:val="24"/>
      <w:szCs w:val="24"/>
      <w:lang w:eastAsia="zh-CN" w:bidi="ar-AE"/>
    </w:rPr>
  </w:style>
  <w:style w:type="paragraph" w:customStyle="1" w:styleId="74">
    <w:name w:val="Schedule 1 L8"/>
    <w:basedOn w:val="1"/>
    <w:next w:val="12"/>
    <w:qFormat/>
    <w:uiPriority w:val="0"/>
    <w:pPr>
      <w:numPr>
        <w:ilvl w:val="7"/>
        <w:numId w:val="4"/>
      </w:numPr>
      <w:spacing w:after="240"/>
      <w:outlineLvl w:val="7"/>
    </w:pPr>
    <w:rPr>
      <w:rFonts w:ascii="Times New Roman" w:hAnsi="Times New Roman" w:eastAsia="SimSun"/>
      <w:sz w:val="24"/>
      <w:szCs w:val="24"/>
      <w:lang w:eastAsia="zh-CN" w:bidi="ar-AE"/>
    </w:rPr>
  </w:style>
  <w:style w:type="paragraph" w:customStyle="1" w:styleId="75">
    <w:name w:val="Schedule 1 L7"/>
    <w:basedOn w:val="1"/>
    <w:next w:val="10"/>
    <w:qFormat/>
    <w:uiPriority w:val="0"/>
    <w:pPr>
      <w:numPr>
        <w:ilvl w:val="6"/>
        <w:numId w:val="4"/>
      </w:numPr>
      <w:spacing w:after="240"/>
      <w:outlineLvl w:val="6"/>
    </w:pPr>
    <w:rPr>
      <w:rFonts w:ascii="Times New Roman" w:hAnsi="Times New Roman" w:eastAsia="SimSun"/>
      <w:sz w:val="24"/>
      <w:szCs w:val="24"/>
      <w:lang w:eastAsia="zh-CN" w:bidi="ar-AE"/>
    </w:rPr>
  </w:style>
  <w:style w:type="paragraph" w:customStyle="1" w:styleId="76">
    <w:name w:val="Schedule 1 L6"/>
    <w:basedOn w:val="1"/>
    <w:next w:val="8"/>
    <w:qFormat/>
    <w:uiPriority w:val="0"/>
    <w:pPr>
      <w:numPr>
        <w:ilvl w:val="5"/>
        <w:numId w:val="4"/>
      </w:numPr>
      <w:spacing w:after="240"/>
      <w:outlineLvl w:val="5"/>
    </w:pPr>
    <w:rPr>
      <w:rFonts w:ascii="Times New Roman" w:hAnsi="Times New Roman" w:eastAsia="SimSun"/>
      <w:sz w:val="24"/>
      <w:szCs w:val="24"/>
      <w:lang w:eastAsia="zh-CN" w:bidi="ar-AE"/>
    </w:rPr>
  </w:style>
  <w:style w:type="paragraph" w:customStyle="1" w:styleId="77">
    <w:name w:val="Schedule 1 L5"/>
    <w:basedOn w:val="1"/>
    <w:next w:val="6"/>
    <w:qFormat/>
    <w:uiPriority w:val="0"/>
    <w:pPr>
      <w:numPr>
        <w:ilvl w:val="4"/>
        <w:numId w:val="4"/>
      </w:numPr>
      <w:spacing w:after="240"/>
      <w:outlineLvl w:val="4"/>
    </w:pPr>
    <w:rPr>
      <w:rFonts w:ascii="Times New Roman" w:hAnsi="Times New Roman" w:eastAsia="SimSun"/>
      <w:sz w:val="24"/>
      <w:szCs w:val="24"/>
      <w:lang w:eastAsia="zh-CN" w:bidi="ar-AE"/>
    </w:rPr>
  </w:style>
  <w:style w:type="paragraph" w:customStyle="1" w:styleId="78">
    <w:name w:val="Schedule 1 L4"/>
    <w:basedOn w:val="1"/>
    <w:next w:val="63"/>
    <w:qFormat/>
    <w:uiPriority w:val="0"/>
    <w:pPr>
      <w:numPr>
        <w:ilvl w:val="3"/>
        <w:numId w:val="4"/>
      </w:numPr>
      <w:spacing w:after="240"/>
      <w:outlineLvl w:val="3"/>
    </w:pPr>
    <w:rPr>
      <w:rFonts w:ascii="Times New Roman" w:hAnsi="Times New Roman" w:eastAsia="SimSun"/>
      <w:sz w:val="24"/>
      <w:szCs w:val="24"/>
      <w:lang w:eastAsia="zh-CN" w:bidi="ar-AE"/>
    </w:rPr>
  </w:style>
  <w:style w:type="paragraph" w:customStyle="1" w:styleId="79">
    <w:name w:val="Schedule 1 L3"/>
    <w:basedOn w:val="1"/>
    <w:next w:val="63"/>
    <w:qFormat/>
    <w:uiPriority w:val="0"/>
    <w:pPr>
      <w:numPr>
        <w:ilvl w:val="2"/>
        <w:numId w:val="4"/>
      </w:numPr>
      <w:spacing w:after="240"/>
      <w:outlineLvl w:val="2"/>
    </w:pPr>
    <w:rPr>
      <w:rFonts w:ascii="Times New Roman" w:hAnsi="Times New Roman" w:eastAsia="SimSun"/>
      <w:sz w:val="24"/>
      <w:szCs w:val="24"/>
      <w:lang w:eastAsia="zh-CN" w:bidi="ar-AE"/>
    </w:rPr>
  </w:style>
  <w:style w:type="paragraph" w:customStyle="1" w:styleId="80">
    <w:name w:val="Schedule 1 L2"/>
    <w:basedOn w:val="1"/>
    <w:next w:val="3"/>
    <w:link w:val="81"/>
    <w:qFormat/>
    <w:uiPriority w:val="0"/>
    <w:pPr>
      <w:numPr>
        <w:ilvl w:val="1"/>
        <w:numId w:val="4"/>
      </w:numPr>
      <w:spacing w:after="240"/>
      <w:jc w:val="center"/>
      <w:outlineLvl w:val="1"/>
    </w:pPr>
    <w:rPr>
      <w:rFonts w:ascii="Times New Roman" w:hAnsi="Times New Roman" w:eastAsia="SimSun" w:cs="Simplified Arabic"/>
      <w:b/>
      <w:caps/>
      <w:sz w:val="24"/>
      <w:szCs w:val="24"/>
      <w:lang w:eastAsia="zh-CN" w:bidi="ar-AE"/>
    </w:rPr>
  </w:style>
  <w:style w:type="character" w:customStyle="1" w:styleId="81">
    <w:name w:val="Schedule 1 L2 Char"/>
    <w:basedOn w:val="60"/>
    <w:link w:val="80"/>
    <w:qFormat/>
    <w:uiPriority w:val="0"/>
    <w:rPr>
      <w:rFonts w:eastAsia="SimSun" w:cs="Simplified Arabic"/>
      <w:bCs w:val="0"/>
      <w:caps/>
      <w:sz w:val="24"/>
      <w:szCs w:val="24"/>
      <w:lang w:val="en-GB" w:eastAsia="zh-CN" w:bidi="ar-AE"/>
    </w:rPr>
  </w:style>
  <w:style w:type="paragraph" w:customStyle="1" w:styleId="82">
    <w:name w:val="Schedule 1 L1"/>
    <w:basedOn w:val="1"/>
    <w:next w:val="3"/>
    <w:qFormat/>
    <w:uiPriority w:val="0"/>
    <w:pPr>
      <w:keepNext/>
      <w:pageBreakBefore/>
      <w:numPr>
        <w:ilvl w:val="0"/>
        <w:numId w:val="4"/>
      </w:numPr>
      <w:spacing w:after="240"/>
      <w:jc w:val="center"/>
      <w:outlineLvl w:val="0"/>
    </w:pPr>
    <w:rPr>
      <w:rFonts w:ascii="Times New Roman" w:hAnsi="Times New Roman" w:eastAsia="SimSun"/>
      <w:b/>
      <w:caps/>
      <w:sz w:val="24"/>
      <w:szCs w:val="24"/>
      <w:lang w:eastAsia="zh-CN" w:bidi="ar-AE"/>
    </w:rPr>
  </w:style>
  <w:style w:type="character" w:customStyle="1" w:styleId="83">
    <w:name w:val="Definitions L2 Char"/>
    <w:basedOn w:val="16"/>
    <w:link w:val="71"/>
    <w:qFormat/>
    <w:uiPriority w:val="0"/>
    <w:rPr>
      <w:rFonts w:eastAsia="SimSun"/>
      <w:sz w:val="24"/>
      <w:szCs w:val="16"/>
      <w:lang w:val="en-GB" w:eastAsia="zh-CN" w:bidi="he-IL"/>
    </w:rPr>
  </w:style>
  <w:style w:type="character" w:customStyle="1" w:styleId="84">
    <w:name w:val="Body Text 3 Char"/>
    <w:basedOn w:val="16"/>
    <w:link w:val="8"/>
    <w:qFormat/>
    <w:uiPriority w:val="0"/>
    <w:rPr>
      <w:rFonts w:ascii="CG Times" w:hAnsi="CG Times"/>
      <w:sz w:val="22"/>
      <w:lang w:eastAsia="en-US"/>
    </w:rPr>
  </w:style>
  <w:style w:type="paragraph" w:customStyle="1" w:styleId="85">
    <w:name w:val="SubTitle0"/>
    <w:basedOn w:val="31"/>
    <w:qFormat/>
    <w:uiPriority w:val="0"/>
    <w:pPr>
      <w:spacing w:after="0"/>
      <w:jc w:val="center"/>
    </w:pPr>
    <w:rPr>
      <w:rFonts w:ascii="Times New Roman" w:hAnsi="Times New Roman" w:eastAsia="SimSun" w:cs="Simplified Arabic"/>
      <w:color w:val="000000"/>
      <w:spacing w:val="0"/>
      <w:sz w:val="24"/>
      <w:szCs w:val="24"/>
      <w:lang w:eastAsia="zh-CN" w:bidi="ar-AE"/>
      <w14:textFill>
        <w14:solidFill>
          <w14:srgbClr w14:val="000000">
            <w14:lumMod w14:val="65000"/>
            <w14:lumOff w14:val="35000"/>
          </w14:srgbClr>
        </w14:solidFill>
      </w14:textFill>
    </w:rPr>
  </w:style>
  <w:style w:type="character" w:customStyle="1" w:styleId="86">
    <w:name w:val="Subtitle Char"/>
    <w:basedOn w:val="16"/>
    <w:link w:val="31"/>
    <w:qFormat/>
    <w:uiPriority w:val="11"/>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87">
    <w:name w:val="Table L3 Char"/>
    <w:basedOn w:val="16"/>
    <w:link w:val="56"/>
    <w:qFormat/>
    <w:uiPriority w:val="0"/>
    <w:rPr>
      <w:rFonts w:eastAsia="SimSun" w:cs="Simplified Arabic"/>
      <w:sz w:val="24"/>
      <w:szCs w:val="24"/>
      <w:lang w:val="en-GB" w:eastAsia="zh-CN" w:bidi="ar-AE"/>
    </w:rPr>
  </w:style>
  <w:style w:type="character" w:customStyle="1" w:styleId="88">
    <w:name w:val="Header Char"/>
    <w:basedOn w:val="16"/>
    <w:link w:val="27"/>
    <w:qFormat/>
    <w:uiPriority w:val="1"/>
    <w:rPr>
      <w:rFonts w:ascii="CG Times" w:hAnsi="CG Times"/>
      <w:sz w:val="16"/>
      <w:lang w:eastAsia="en-US"/>
    </w:rPr>
  </w:style>
  <w:style w:type="character" w:customStyle="1" w:styleId="89">
    <w:name w:val="Body Text Char"/>
    <w:basedOn w:val="16"/>
    <w:link w:val="3"/>
    <w:qFormat/>
    <w:uiPriority w:val="0"/>
    <w:rPr>
      <w:rFonts w:ascii="CG Times" w:hAnsi="CG Times"/>
      <w:sz w:val="22"/>
      <w:lang w:eastAsia="en-US"/>
    </w:rPr>
  </w:style>
  <w:style w:type="character" w:customStyle="1" w:styleId="90">
    <w:name w:val="Body Text Indent 2 Char"/>
    <w:basedOn w:val="16"/>
    <w:link w:val="19"/>
    <w:semiHidden/>
    <w:qFormat/>
    <w:uiPriority w:val="99"/>
    <w:rPr>
      <w:rFonts w:ascii="CG Times" w:hAnsi="CG Times"/>
      <w:sz w:val="22"/>
      <w:lang w:eastAsia="en-US"/>
    </w:rPr>
  </w:style>
  <w:style w:type="paragraph" w:customStyle="1" w:styleId="91">
    <w:name w:val="General 2 L9"/>
    <w:basedOn w:val="1"/>
    <w:link w:val="92"/>
    <w:qFormat/>
    <w:uiPriority w:val="99"/>
    <w:pPr>
      <w:numPr>
        <w:ilvl w:val="8"/>
        <w:numId w:val="5"/>
      </w:numPr>
      <w:tabs>
        <w:tab w:val="left" w:pos="720"/>
      </w:tabs>
      <w:spacing w:after="240"/>
    </w:pPr>
    <w:rPr>
      <w:rFonts w:ascii="Times New Roman"/>
      <w:sz w:val="24"/>
    </w:rPr>
  </w:style>
  <w:style w:type="character" w:customStyle="1" w:styleId="92">
    <w:name w:val="General 2 L9 Char"/>
    <w:basedOn w:val="89"/>
    <w:link w:val="91"/>
    <w:qFormat/>
    <w:uiPriority w:val="99"/>
    <w:rPr>
      <w:rFonts w:ascii="CG Times" w:hAnsi="CG Times"/>
      <w:sz w:val="24"/>
      <w:lang w:val="en-GB" w:eastAsia="en-US"/>
    </w:rPr>
  </w:style>
  <w:style w:type="paragraph" w:customStyle="1" w:styleId="93">
    <w:name w:val="General 2 L8"/>
    <w:basedOn w:val="1"/>
    <w:link w:val="94"/>
    <w:qFormat/>
    <w:uiPriority w:val="99"/>
    <w:pPr>
      <w:numPr>
        <w:ilvl w:val="7"/>
        <w:numId w:val="5"/>
      </w:numPr>
      <w:tabs>
        <w:tab w:val="left" w:pos="720"/>
      </w:tabs>
      <w:spacing w:after="240"/>
    </w:pPr>
    <w:rPr>
      <w:rFonts w:ascii="Times New Roman"/>
      <w:sz w:val="24"/>
    </w:rPr>
  </w:style>
  <w:style w:type="character" w:customStyle="1" w:styleId="94">
    <w:name w:val="General 2 L8 Char"/>
    <w:basedOn w:val="89"/>
    <w:link w:val="93"/>
    <w:qFormat/>
    <w:uiPriority w:val="99"/>
    <w:rPr>
      <w:rFonts w:ascii="CG Times" w:hAnsi="CG Times"/>
      <w:sz w:val="24"/>
      <w:lang w:val="en-GB" w:eastAsia="en-US"/>
    </w:rPr>
  </w:style>
  <w:style w:type="paragraph" w:customStyle="1" w:styleId="95">
    <w:name w:val="General 2 L7"/>
    <w:basedOn w:val="1"/>
    <w:link w:val="96"/>
    <w:qFormat/>
    <w:uiPriority w:val="99"/>
    <w:pPr>
      <w:numPr>
        <w:ilvl w:val="6"/>
        <w:numId w:val="5"/>
      </w:numPr>
      <w:tabs>
        <w:tab w:val="left" w:pos="720"/>
      </w:tabs>
      <w:spacing w:after="240"/>
    </w:pPr>
    <w:rPr>
      <w:rFonts w:ascii="Times New Roman"/>
      <w:sz w:val="24"/>
    </w:rPr>
  </w:style>
  <w:style w:type="character" w:customStyle="1" w:styleId="96">
    <w:name w:val="General 2 L7 Char"/>
    <w:basedOn w:val="89"/>
    <w:link w:val="95"/>
    <w:qFormat/>
    <w:uiPriority w:val="99"/>
    <w:rPr>
      <w:rFonts w:ascii="CG Times" w:hAnsi="CG Times"/>
      <w:sz w:val="24"/>
      <w:lang w:val="en-GB" w:eastAsia="en-US"/>
    </w:rPr>
  </w:style>
  <w:style w:type="paragraph" w:customStyle="1" w:styleId="97">
    <w:name w:val="General 2 L6"/>
    <w:basedOn w:val="1"/>
    <w:next w:val="12"/>
    <w:link w:val="98"/>
    <w:qFormat/>
    <w:uiPriority w:val="0"/>
    <w:pPr>
      <w:numPr>
        <w:ilvl w:val="5"/>
        <w:numId w:val="5"/>
      </w:numPr>
      <w:tabs>
        <w:tab w:val="left" w:pos="720"/>
      </w:tabs>
      <w:spacing w:after="240"/>
      <w:outlineLvl w:val="5"/>
    </w:pPr>
    <w:rPr>
      <w:rFonts w:ascii="Times New Roman"/>
      <w:sz w:val="24"/>
    </w:rPr>
  </w:style>
  <w:style w:type="character" w:customStyle="1" w:styleId="98">
    <w:name w:val="General 2 L6 Char"/>
    <w:basedOn w:val="89"/>
    <w:link w:val="97"/>
    <w:qFormat/>
    <w:uiPriority w:val="0"/>
    <w:rPr>
      <w:rFonts w:ascii="CG Times" w:hAnsi="CG Times"/>
      <w:sz w:val="24"/>
      <w:lang w:val="en-GB" w:eastAsia="en-US"/>
    </w:rPr>
  </w:style>
  <w:style w:type="paragraph" w:customStyle="1" w:styleId="99">
    <w:name w:val="General 2 L5"/>
    <w:basedOn w:val="1"/>
    <w:next w:val="10"/>
    <w:link w:val="100"/>
    <w:qFormat/>
    <w:uiPriority w:val="0"/>
    <w:pPr>
      <w:numPr>
        <w:ilvl w:val="4"/>
        <w:numId w:val="5"/>
      </w:numPr>
      <w:outlineLvl w:val="4"/>
    </w:pPr>
    <w:rPr>
      <w:rFonts w:ascii="Times New Roman"/>
    </w:rPr>
  </w:style>
  <w:style w:type="character" w:customStyle="1" w:styleId="100">
    <w:name w:val="General 2 L5 Char"/>
    <w:basedOn w:val="89"/>
    <w:link w:val="99"/>
    <w:qFormat/>
    <w:uiPriority w:val="0"/>
    <w:rPr>
      <w:rFonts w:ascii="CG Times" w:hAnsi="CG Times"/>
      <w:sz w:val="22"/>
      <w:lang w:val="en-GB" w:eastAsia="en-US"/>
    </w:rPr>
  </w:style>
  <w:style w:type="paragraph" w:customStyle="1" w:styleId="101">
    <w:name w:val="General 2 L4"/>
    <w:basedOn w:val="1"/>
    <w:next w:val="8"/>
    <w:link w:val="102"/>
    <w:qFormat/>
    <w:uiPriority w:val="0"/>
    <w:pPr>
      <w:numPr>
        <w:ilvl w:val="3"/>
        <w:numId w:val="5"/>
      </w:numPr>
      <w:tabs>
        <w:tab w:val="left" w:pos="720"/>
      </w:tabs>
      <w:outlineLvl w:val="3"/>
    </w:pPr>
    <w:rPr>
      <w:rFonts w:ascii="Times New Roman"/>
    </w:rPr>
  </w:style>
  <w:style w:type="character" w:customStyle="1" w:styleId="102">
    <w:name w:val="General 2 L4 Char"/>
    <w:basedOn w:val="89"/>
    <w:link w:val="101"/>
    <w:qFormat/>
    <w:uiPriority w:val="0"/>
    <w:rPr>
      <w:rFonts w:ascii="CG Times" w:hAnsi="CG Times"/>
      <w:sz w:val="22"/>
      <w:lang w:val="en-GB" w:eastAsia="en-US"/>
    </w:rPr>
  </w:style>
  <w:style w:type="paragraph" w:customStyle="1" w:styleId="103">
    <w:name w:val="General 2 L3"/>
    <w:basedOn w:val="1"/>
    <w:next w:val="6"/>
    <w:link w:val="104"/>
    <w:qFormat/>
    <w:uiPriority w:val="0"/>
    <w:pPr>
      <w:numPr>
        <w:ilvl w:val="2"/>
        <w:numId w:val="5"/>
      </w:numPr>
      <w:tabs>
        <w:tab w:val="left" w:pos="720"/>
        <w:tab w:val="left" w:pos="766"/>
      </w:tabs>
      <w:outlineLvl w:val="2"/>
    </w:pPr>
    <w:rPr>
      <w:rFonts w:ascii="Times New Roman"/>
    </w:rPr>
  </w:style>
  <w:style w:type="character" w:customStyle="1" w:styleId="104">
    <w:name w:val="General 2 L3 Char"/>
    <w:basedOn w:val="89"/>
    <w:link w:val="103"/>
    <w:qFormat/>
    <w:uiPriority w:val="0"/>
    <w:rPr>
      <w:rFonts w:ascii="CG Times" w:hAnsi="CG Times"/>
      <w:sz w:val="22"/>
      <w:lang w:val="en-GB" w:eastAsia="en-US"/>
    </w:rPr>
  </w:style>
  <w:style w:type="paragraph" w:customStyle="1" w:styleId="105">
    <w:name w:val="General 2 L2"/>
    <w:basedOn w:val="1"/>
    <w:next w:val="63"/>
    <w:link w:val="106"/>
    <w:qFormat/>
    <w:uiPriority w:val="0"/>
    <w:pPr>
      <w:keepNext/>
      <w:numPr>
        <w:ilvl w:val="1"/>
        <w:numId w:val="5"/>
      </w:numPr>
      <w:suppressAutoHyphens/>
      <w:jc w:val="left"/>
      <w:outlineLvl w:val="1"/>
    </w:pPr>
    <w:rPr>
      <w:rFonts w:ascii="Times New Roman"/>
      <w:b/>
    </w:rPr>
  </w:style>
  <w:style w:type="character" w:customStyle="1" w:styleId="106">
    <w:name w:val="General 2 L2 Char"/>
    <w:basedOn w:val="89"/>
    <w:link w:val="105"/>
    <w:qFormat/>
    <w:uiPriority w:val="0"/>
    <w:rPr>
      <w:rFonts w:ascii="CG Times" w:hAnsi="CG Times"/>
      <w:b/>
      <w:sz w:val="22"/>
      <w:lang w:val="en-GB" w:eastAsia="en-US"/>
    </w:rPr>
  </w:style>
  <w:style w:type="paragraph" w:customStyle="1" w:styleId="107">
    <w:name w:val="General 2 L1"/>
    <w:basedOn w:val="1"/>
    <w:next w:val="63"/>
    <w:link w:val="108"/>
    <w:qFormat/>
    <w:uiPriority w:val="0"/>
    <w:pPr>
      <w:keepNext/>
      <w:numPr>
        <w:ilvl w:val="0"/>
        <w:numId w:val="5"/>
      </w:numPr>
      <w:suppressAutoHyphens/>
      <w:jc w:val="center"/>
      <w:outlineLvl w:val="0"/>
    </w:pPr>
    <w:rPr>
      <w:rFonts w:ascii="Times New Roman"/>
      <w:b/>
      <w:caps/>
    </w:rPr>
  </w:style>
  <w:style w:type="character" w:customStyle="1" w:styleId="108">
    <w:name w:val="General 2 L1 Char"/>
    <w:basedOn w:val="89"/>
    <w:link w:val="107"/>
    <w:qFormat/>
    <w:uiPriority w:val="0"/>
    <w:rPr>
      <w:rFonts w:ascii="CG Times" w:hAnsi="CG Times"/>
      <w:b/>
      <w:caps/>
      <w:sz w:val="22"/>
      <w:lang w:val="en-GB" w:eastAsia="en-US"/>
    </w:rPr>
  </w:style>
  <w:style w:type="paragraph" w:customStyle="1" w:styleId="109">
    <w:name w:val="TOC Heading1"/>
    <w:basedOn w:val="2"/>
    <w:next w:val="1"/>
    <w:semiHidden/>
    <w:unhideWhenUsed/>
    <w:qFormat/>
    <w:uiPriority w:val="39"/>
    <w:pPr>
      <w:keepLines/>
      <w:tabs>
        <w:tab w:val="clear" w:pos="22"/>
      </w:tabs>
      <w:spacing w:before="240" w:after="0"/>
      <w:outlineLvl w:val="9"/>
    </w:pPr>
    <w:rPr>
      <w:rFonts w:asciiTheme="majorHAnsi" w:hAnsiTheme="majorHAnsi" w:eastAsiaTheme="majorEastAsia" w:cstheme="majorBidi"/>
      <w:b w:val="0"/>
      <w:caps w:val="0"/>
      <w:color w:val="376092" w:themeColor="accent1" w:themeShade="BF"/>
      <w:kern w:val="0"/>
      <w:sz w:val="32"/>
      <w:szCs w:val="32"/>
    </w:rPr>
  </w:style>
  <w:style w:type="paragraph" w:customStyle="1" w:styleId="110">
    <w:name w:val="NormalRight"/>
    <w:basedOn w:val="1"/>
    <w:qFormat/>
    <w:uiPriority w:val="1"/>
    <w:pPr>
      <w:spacing w:after="0"/>
      <w:jc w:val="right"/>
    </w:pPr>
    <w:rPr>
      <w:rFonts w:ascii="Times New Roman" w:hAnsi="Times New Roman" w:eastAsia="SimSun"/>
      <w:sz w:val="24"/>
      <w:szCs w:val="24"/>
      <w:lang w:eastAsia="zh-CN" w:bidi="ar-AE"/>
    </w:rPr>
  </w:style>
  <w:style w:type="paragraph" w:customStyle="1" w:styleId="111">
    <w:name w:val="List Alpha 1"/>
    <w:basedOn w:val="1"/>
    <w:next w:val="3"/>
    <w:qFormat/>
    <w:uiPriority w:val="0"/>
    <w:pPr>
      <w:tabs>
        <w:tab w:val="left" w:pos="22"/>
      </w:tabs>
      <w:spacing w:line="288" w:lineRule="auto"/>
    </w:pPr>
  </w:style>
  <w:style w:type="paragraph" w:customStyle="1" w:styleId="112">
    <w:name w:val="List Alpha 2"/>
    <w:basedOn w:val="1"/>
    <w:next w:val="6"/>
    <w:qFormat/>
    <w:uiPriority w:val="0"/>
    <w:pPr>
      <w:tabs>
        <w:tab w:val="left" w:pos="50"/>
      </w:tabs>
      <w:spacing w:line="288" w:lineRule="auto"/>
    </w:pPr>
  </w:style>
  <w:style w:type="paragraph" w:customStyle="1" w:styleId="113">
    <w:name w:val="List Alpha 3"/>
    <w:basedOn w:val="1"/>
    <w:next w:val="8"/>
    <w:qFormat/>
    <w:uiPriority w:val="0"/>
    <w:pPr>
      <w:tabs>
        <w:tab w:val="left" w:pos="68"/>
      </w:tabs>
      <w:spacing w:line="288" w:lineRule="auto"/>
    </w:pPr>
  </w:style>
  <w:style w:type="paragraph" w:customStyle="1" w:styleId="114">
    <w:name w:val="List ALPHA CAPS 1"/>
    <w:basedOn w:val="1"/>
    <w:next w:val="3"/>
    <w:qFormat/>
    <w:uiPriority w:val="0"/>
    <w:pPr>
      <w:tabs>
        <w:tab w:val="left" w:pos="22"/>
      </w:tabs>
      <w:spacing w:line="288" w:lineRule="auto"/>
    </w:pPr>
  </w:style>
  <w:style w:type="paragraph" w:customStyle="1" w:styleId="115">
    <w:name w:val="LIST ALPHA CAPS 2"/>
    <w:basedOn w:val="1"/>
    <w:next w:val="6"/>
    <w:qFormat/>
    <w:uiPriority w:val="0"/>
    <w:pPr>
      <w:tabs>
        <w:tab w:val="left" w:pos="50"/>
      </w:tabs>
      <w:spacing w:line="288" w:lineRule="auto"/>
    </w:pPr>
  </w:style>
  <w:style w:type="paragraph" w:customStyle="1" w:styleId="116">
    <w:name w:val="LIST ALPHA CAPS 3"/>
    <w:basedOn w:val="1"/>
    <w:next w:val="8"/>
    <w:qFormat/>
    <w:uiPriority w:val="0"/>
    <w:pPr>
      <w:tabs>
        <w:tab w:val="left" w:pos="68"/>
      </w:tabs>
      <w:spacing w:line="288" w:lineRule="auto"/>
    </w:pPr>
  </w:style>
  <w:style w:type="paragraph" w:customStyle="1" w:styleId="117">
    <w:name w:val="List Arabic 1"/>
    <w:basedOn w:val="1"/>
    <w:next w:val="3"/>
    <w:qFormat/>
    <w:uiPriority w:val="0"/>
    <w:pPr>
      <w:tabs>
        <w:tab w:val="left" w:pos="22"/>
      </w:tabs>
      <w:spacing w:line="288" w:lineRule="auto"/>
    </w:pPr>
  </w:style>
  <w:style w:type="paragraph" w:customStyle="1" w:styleId="118">
    <w:name w:val="List Arabic 2"/>
    <w:basedOn w:val="1"/>
    <w:next w:val="6"/>
    <w:qFormat/>
    <w:uiPriority w:val="0"/>
    <w:pPr>
      <w:tabs>
        <w:tab w:val="left" w:pos="50"/>
      </w:tabs>
      <w:spacing w:line="288" w:lineRule="auto"/>
    </w:pPr>
  </w:style>
  <w:style w:type="paragraph" w:customStyle="1" w:styleId="119">
    <w:name w:val="List Arabic 3"/>
    <w:basedOn w:val="1"/>
    <w:next w:val="8"/>
    <w:qFormat/>
    <w:uiPriority w:val="0"/>
    <w:pPr>
      <w:tabs>
        <w:tab w:val="left" w:pos="68"/>
      </w:tabs>
      <w:spacing w:line="288" w:lineRule="auto"/>
    </w:pPr>
  </w:style>
  <w:style w:type="paragraph" w:customStyle="1" w:styleId="120">
    <w:name w:val="List Arabic 4"/>
    <w:basedOn w:val="1"/>
    <w:next w:val="10"/>
    <w:qFormat/>
    <w:uiPriority w:val="0"/>
    <w:pPr>
      <w:tabs>
        <w:tab w:val="left" w:pos="86"/>
      </w:tabs>
      <w:spacing w:line="288" w:lineRule="auto"/>
    </w:pPr>
  </w:style>
  <w:style w:type="paragraph" w:customStyle="1" w:styleId="121">
    <w:name w:val="List Legal 1"/>
    <w:basedOn w:val="1"/>
    <w:next w:val="3"/>
    <w:qFormat/>
    <w:uiPriority w:val="0"/>
    <w:pPr>
      <w:tabs>
        <w:tab w:val="left" w:pos="22"/>
      </w:tabs>
      <w:spacing w:line="288" w:lineRule="auto"/>
    </w:pPr>
  </w:style>
  <w:style w:type="paragraph" w:customStyle="1" w:styleId="122">
    <w:name w:val="List Legal 2"/>
    <w:basedOn w:val="1"/>
    <w:next w:val="3"/>
    <w:qFormat/>
    <w:uiPriority w:val="0"/>
    <w:pPr>
      <w:tabs>
        <w:tab w:val="left" w:pos="22"/>
      </w:tabs>
      <w:spacing w:line="288" w:lineRule="auto"/>
    </w:pPr>
  </w:style>
  <w:style w:type="paragraph" w:customStyle="1" w:styleId="123">
    <w:name w:val="List Legal 3"/>
    <w:basedOn w:val="1"/>
    <w:next w:val="6"/>
    <w:qFormat/>
    <w:uiPriority w:val="0"/>
    <w:pPr>
      <w:tabs>
        <w:tab w:val="left" w:pos="50"/>
      </w:tabs>
      <w:spacing w:line="288" w:lineRule="auto"/>
    </w:pPr>
  </w:style>
  <w:style w:type="paragraph" w:customStyle="1" w:styleId="124">
    <w:name w:val="List Roman 1"/>
    <w:basedOn w:val="1"/>
    <w:next w:val="3"/>
    <w:qFormat/>
    <w:uiPriority w:val="0"/>
    <w:pPr>
      <w:tabs>
        <w:tab w:val="left" w:pos="22"/>
      </w:tabs>
      <w:spacing w:line="288" w:lineRule="auto"/>
    </w:pPr>
  </w:style>
  <w:style w:type="paragraph" w:customStyle="1" w:styleId="125">
    <w:name w:val="List Roman 2"/>
    <w:basedOn w:val="1"/>
    <w:next w:val="6"/>
    <w:qFormat/>
    <w:uiPriority w:val="0"/>
    <w:pPr>
      <w:tabs>
        <w:tab w:val="left" w:pos="50"/>
      </w:tabs>
      <w:spacing w:line="288" w:lineRule="auto"/>
    </w:pPr>
  </w:style>
  <w:style w:type="paragraph" w:customStyle="1" w:styleId="126">
    <w:name w:val="List Roman 3"/>
    <w:basedOn w:val="1"/>
    <w:next w:val="8"/>
    <w:qFormat/>
    <w:uiPriority w:val="0"/>
    <w:pPr>
      <w:tabs>
        <w:tab w:val="left" w:pos="68"/>
      </w:tabs>
      <w:spacing w:line="288" w:lineRule="auto"/>
    </w:pPr>
  </w:style>
  <w:style w:type="paragraph" w:customStyle="1" w:styleId="127">
    <w:name w:val="Notes Alpha"/>
    <w:basedOn w:val="1"/>
    <w:qFormat/>
    <w:uiPriority w:val="0"/>
    <w:pPr>
      <w:spacing w:after="100" w:line="288" w:lineRule="auto"/>
    </w:pPr>
  </w:style>
  <w:style w:type="paragraph" w:customStyle="1" w:styleId="128">
    <w:name w:val="Notes Arabic"/>
    <w:basedOn w:val="1"/>
    <w:qFormat/>
    <w:uiPriority w:val="0"/>
    <w:pPr>
      <w:spacing w:after="100" w:line="288" w:lineRule="auto"/>
    </w:pPr>
  </w:style>
  <w:style w:type="paragraph" w:customStyle="1" w:styleId="129">
    <w:name w:val="Notes Roman"/>
    <w:basedOn w:val="1"/>
    <w:qFormat/>
    <w:uiPriority w:val="0"/>
    <w:pPr>
      <w:tabs>
        <w:tab w:val="left" w:pos="624"/>
      </w:tabs>
      <w:spacing w:after="100" w:line="288" w:lineRule="auto"/>
    </w:pPr>
  </w:style>
  <w:style w:type="paragraph" w:customStyle="1" w:styleId="130">
    <w:name w:val="Part Headings"/>
    <w:basedOn w:val="1"/>
    <w:next w:val="1"/>
    <w:qFormat/>
    <w:uiPriority w:val="0"/>
    <w:pPr>
      <w:suppressAutoHyphens/>
      <w:spacing w:after="300" w:line="312" w:lineRule="auto"/>
      <w:jc w:val="center"/>
      <w:outlineLvl w:val="2"/>
    </w:pPr>
    <w:rPr>
      <w:b/>
      <w:sz w:val="21"/>
    </w:rPr>
  </w:style>
  <w:style w:type="paragraph" w:customStyle="1" w:styleId="131">
    <w:name w:val="Long Standard L9"/>
    <w:basedOn w:val="1"/>
    <w:next w:val="8"/>
    <w:qFormat/>
    <w:uiPriority w:val="0"/>
    <w:pPr>
      <w:spacing w:after="240"/>
      <w:outlineLvl w:val="8"/>
    </w:pPr>
    <w:rPr>
      <w:rFonts w:ascii="Times New Roman" w:hAnsi="Times New Roman" w:eastAsia="SimSun"/>
      <w:sz w:val="24"/>
      <w:szCs w:val="16"/>
      <w:lang w:eastAsia="zh-CN" w:bidi="he-IL"/>
    </w:rPr>
  </w:style>
  <w:style w:type="paragraph" w:customStyle="1" w:styleId="132">
    <w:name w:val="Long Standard L8"/>
    <w:basedOn w:val="1"/>
    <w:next w:val="6"/>
    <w:qFormat/>
    <w:uiPriority w:val="0"/>
    <w:pPr>
      <w:spacing w:after="240"/>
      <w:outlineLvl w:val="7"/>
    </w:pPr>
    <w:rPr>
      <w:rFonts w:ascii="Times New Roman" w:hAnsi="Times New Roman" w:eastAsia="SimSun"/>
      <w:sz w:val="24"/>
      <w:szCs w:val="16"/>
      <w:lang w:eastAsia="zh-CN" w:bidi="he-IL"/>
    </w:rPr>
  </w:style>
  <w:style w:type="paragraph" w:customStyle="1" w:styleId="133">
    <w:name w:val="Long Standard L7"/>
    <w:basedOn w:val="1"/>
    <w:qFormat/>
    <w:uiPriority w:val="0"/>
    <w:pPr>
      <w:spacing w:after="240"/>
      <w:outlineLvl w:val="6"/>
    </w:pPr>
    <w:rPr>
      <w:rFonts w:ascii="Times New Roman" w:hAnsi="Times New Roman" w:eastAsia="SimSun"/>
      <w:sz w:val="24"/>
      <w:szCs w:val="16"/>
      <w:lang w:eastAsia="zh-CN" w:bidi="he-IL"/>
    </w:rPr>
  </w:style>
  <w:style w:type="paragraph" w:customStyle="1" w:styleId="134">
    <w:name w:val="Long Standard L6"/>
    <w:basedOn w:val="1"/>
    <w:qFormat/>
    <w:uiPriority w:val="0"/>
    <w:pPr>
      <w:spacing w:after="240"/>
      <w:outlineLvl w:val="5"/>
    </w:pPr>
    <w:rPr>
      <w:rFonts w:ascii="Times New Roman" w:hAnsi="Times New Roman" w:eastAsia="SimSun"/>
      <w:sz w:val="24"/>
      <w:szCs w:val="16"/>
      <w:lang w:eastAsia="zh-CN" w:bidi="he-IL"/>
    </w:rPr>
  </w:style>
  <w:style w:type="paragraph" w:customStyle="1" w:styleId="135">
    <w:name w:val="Long Standard L5"/>
    <w:basedOn w:val="1"/>
    <w:next w:val="10"/>
    <w:qFormat/>
    <w:uiPriority w:val="0"/>
    <w:pPr>
      <w:spacing w:after="240"/>
      <w:outlineLvl w:val="4"/>
    </w:pPr>
    <w:rPr>
      <w:rFonts w:ascii="Times New Roman" w:hAnsi="Times New Roman" w:eastAsia="SimSun"/>
      <w:sz w:val="24"/>
      <w:szCs w:val="16"/>
      <w:lang w:eastAsia="zh-CN" w:bidi="he-IL"/>
    </w:rPr>
  </w:style>
  <w:style w:type="paragraph" w:customStyle="1" w:styleId="136">
    <w:name w:val="Long Standard L4"/>
    <w:basedOn w:val="1"/>
    <w:next w:val="8"/>
    <w:qFormat/>
    <w:uiPriority w:val="0"/>
    <w:pPr>
      <w:spacing w:after="240"/>
      <w:outlineLvl w:val="3"/>
    </w:pPr>
    <w:rPr>
      <w:rFonts w:ascii="Times New Roman" w:hAnsi="Times New Roman" w:eastAsia="SimSun"/>
      <w:sz w:val="24"/>
      <w:szCs w:val="16"/>
      <w:lang w:eastAsia="zh-CN" w:bidi="he-IL"/>
    </w:rPr>
  </w:style>
  <w:style w:type="paragraph" w:customStyle="1" w:styleId="137">
    <w:name w:val="Long Standard L3"/>
    <w:basedOn w:val="1"/>
    <w:next w:val="6"/>
    <w:qFormat/>
    <w:uiPriority w:val="0"/>
    <w:pPr>
      <w:spacing w:after="240"/>
      <w:outlineLvl w:val="2"/>
    </w:pPr>
    <w:rPr>
      <w:rFonts w:ascii="Times New Roman" w:hAnsi="Times New Roman" w:eastAsia="SimSun"/>
      <w:sz w:val="24"/>
      <w:szCs w:val="16"/>
      <w:lang w:eastAsia="zh-CN" w:bidi="he-IL"/>
    </w:rPr>
  </w:style>
  <w:style w:type="paragraph" w:customStyle="1" w:styleId="138">
    <w:name w:val="Long Standard L2"/>
    <w:basedOn w:val="1"/>
    <w:next w:val="1"/>
    <w:qFormat/>
    <w:uiPriority w:val="0"/>
    <w:pPr>
      <w:keepNext/>
      <w:suppressAutoHyphens/>
      <w:spacing w:after="240"/>
      <w:jc w:val="left"/>
      <w:outlineLvl w:val="1"/>
    </w:pPr>
    <w:rPr>
      <w:rFonts w:ascii="Times New Roman" w:hAnsi="Times New Roman" w:eastAsia="SimSun"/>
      <w:b/>
      <w:sz w:val="24"/>
      <w:szCs w:val="16"/>
      <w:lang w:eastAsia="zh-CN" w:bidi="he-IL"/>
    </w:rPr>
  </w:style>
  <w:style w:type="paragraph" w:customStyle="1" w:styleId="139">
    <w:name w:val="Long Standard L1"/>
    <w:basedOn w:val="1"/>
    <w:next w:val="1"/>
    <w:qFormat/>
    <w:uiPriority w:val="0"/>
    <w:pPr>
      <w:keepNext/>
      <w:suppressAutoHyphens/>
      <w:spacing w:after="240"/>
      <w:jc w:val="left"/>
      <w:outlineLvl w:val="0"/>
    </w:pPr>
    <w:rPr>
      <w:rFonts w:ascii="Times New Roman" w:hAnsi="Times New Roman" w:eastAsia="SimSun"/>
      <w:b/>
      <w:caps/>
      <w:sz w:val="24"/>
      <w:szCs w:val="16"/>
      <w:lang w:eastAsia="zh-CN" w:bidi="he-IL"/>
    </w:rPr>
  </w:style>
  <w:style w:type="paragraph" w:customStyle="1" w:styleId="140">
    <w:name w:val="alpha 2"/>
    <w:basedOn w:val="1"/>
    <w:uiPriority w:val="0"/>
    <w:pPr>
      <w:spacing w:line="288" w:lineRule="auto"/>
    </w:pPr>
  </w:style>
  <w:style w:type="paragraph" w:customStyle="1" w:styleId="141">
    <w:name w:val="Standard L9"/>
    <w:basedOn w:val="1"/>
    <w:next w:val="8"/>
    <w:qFormat/>
    <w:uiPriority w:val="0"/>
    <w:pPr>
      <w:spacing w:after="240"/>
      <w:outlineLvl w:val="8"/>
    </w:pPr>
    <w:rPr>
      <w:rFonts w:ascii="Times New Roman" w:hAnsi="Times New Roman" w:eastAsia="SimSun"/>
      <w:sz w:val="24"/>
      <w:szCs w:val="16"/>
      <w:lang w:eastAsia="zh-CN" w:bidi="he-IL"/>
    </w:rPr>
  </w:style>
  <w:style w:type="paragraph" w:customStyle="1" w:styleId="142">
    <w:name w:val="Standard L8"/>
    <w:basedOn w:val="1"/>
    <w:next w:val="6"/>
    <w:uiPriority w:val="0"/>
    <w:pPr>
      <w:spacing w:after="240"/>
      <w:outlineLvl w:val="7"/>
    </w:pPr>
    <w:rPr>
      <w:rFonts w:ascii="Times New Roman" w:hAnsi="Times New Roman" w:eastAsia="SimSun"/>
      <w:sz w:val="24"/>
      <w:szCs w:val="16"/>
      <w:lang w:eastAsia="zh-CN" w:bidi="he-IL"/>
    </w:rPr>
  </w:style>
  <w:style w:type="paragraph" w:customStyle="1" w:styleId="143">
    <w:name w:val="Standard L7"/>
    <w:basedOn w:val="1"/>
    <w:uiPriority w:val="0"/>
    <w:pPr>
      <w:spacing w:after="240"/>
      <w:outlineLvl w:val="6"/>
    </w:pPr>
    <w:rPr>
      <w:rFonts w:ascii="Times New Roman" w:hAnsi="Times New Roman" w:eastAsia="SimSun"/>
      <w:sz w:val="24"/>
      <w:szCs w:val="16"/>
      <w:lang w:eastAsia="zh-CN" w:bidi="he-IL"/>
    </w:rPr>
  </w:style>
  <w:style w:type="paragraph" w:customStyle="1" w:styleId="144">
    <w:name w:val="Standard L6"/>
    <w:basedOn w:val="1"/>
    <w:next w:val="12"/>
    <w:uiPriority w:val="0"/>
    <w:pPr>
      <w:spacing w:after="240"/>
      <w:outlineLvl w:val="5"/>
    </w:pPr>
    <w:rPr>
      <w:rFonts w:ascii="Times New Roman" w:hAnsi="Times New Roman" w:eastAsia="SimSun"/>
      <w:sz w:val="24"/>
      <w:szCs w:val="16"/>
      <w:lang w:eastAsia="zh-CN" w:bidi="he-IL"/>
    </w:rPr>
  </w:style>
  <w:style w:type="paragraph" w:customStyle="1" w:styleId="145">
    <w:name w:val="Standard L5"/>
    <w:basedOn w:val="1"/>
    <w:next w:val="10"/>
    <w:uiPriority w:val="0"/>
    <w:pPr>
      <w:spacing w:after="240"/>
      <w:outlineLvl w:val="4"/>
    </w:pPr>
    <w:rPr>
      <w:rFonts w:ascii="Times New Roman" w:hAnsi="Times New Roman" w:eastAsia="SimSun"/>
      <w:sz w:val="24"/>
      <w:szCs w:val="16"/>
      <w:lang w:eastAsia="zh-CN" w:bidi="he-IL"/>
    </w:rPr>
  </w:style>
  <w:style w:type="paragraph" w:customStyle="1" w:styleId="146">
    <w:name w:val="Standard L4"/>
    <w:basedOn w:val="1"/>
    <w:next w:val="8"/>
    <w:uiPriority w:val="0"/>
    <w:pPr>
      <w:spacing w:after="240"/>
      <w:outlineLvl w:val="3"/>
    </w:pPr>
    <w:rPr>
      <w:rFonts w:ascii="Times New Roman" w:hAnsi="Times New Roman" w:eastAsia="SimSun"/>
      <w:sz w:val="24"/>
      <w:szCs w:val="16"/>
      <w:lang w:eastAsia="zh-CN" w:bidi="he-IL"/>
    </w:rPr>
  </w:style>
  <w:style w:type="paragraph" w:customStyle="1" w:styleId="147">
    <w:name w:val="Standard L3"/>
    <w:basedOn w:val="1"/>
    <w:next w:val="6"/>
    <w:uiPriority w:val="0"/>
    <w:pPr>
      <w:spacing w:after="240"/>
      <w:outlineLvl w:val="2"/>
    </w:pPr>
    <w:rPr>
      <w:rFonts w:ascii="Times New Roman" w:hAnsi="Times New Roman" w:eastAsia="SimSun"/>
      <w:sz w:val="24"/>
      <w:szCs w:val="16"/>
      <w:lang w:eastAsia="zh-CN" w:bidi="he-IL"/>
    </w:rPr>
  </w:style>
  <w:style w:type="paragraph" w:customStyle="1" w:styleId="148">
    <w:name w:val="Standard L2"/>
    <w:basedOn w:val="1"/>
    <w:next w:val="63"/>
    <w:uiPriority w:val="0"/>
    <w:pPr>
      <w:tabs>
        <w:tab w:val="left" w:pos="862"/>
      </w:tabs>
      <w:spacing w:after="240"/>
      <w:outlineLvl w:val="1"/>
    </w:pPr>
    <w:rPr>
      <w:rFonts w:ascii="Times New Roman" w:hAnsi="Times New Roman" w:eastAsia="SimSun"/>
      <w:sz w:val="24"/>
      <w:szCs w:val="16"/>
      <w:lang w:eastAsia="zh-CN" w:bidi="he-IL"/>
    </w:rPr>
  </w:style>
  <w:style w:type="paragraph" w:customStyle="1" w:styleId="149">
    <w:name w:val="Standard L1"/>
    <w:basedOn w:val="1"/>
    <w:next w:val="63"/>
    <w:uiPriority w:val="0"/>
    <w:pPr>
      <w:keepNext/>
      <w:suppressAutoHyphens/>
      <w:spacing w:after="240"/>
      <w:jc w:val="left"/>
      <w:outlineLvl w:val="0"/>
    </w:pPr>
    <w:rPr>
      <w:rFonts w:ascii="Times New Roman" w:hAnsi="Times New Roman" w:eastAsia="SimSun"/>
      <w:b/>
      <w:caps/>
      <w:sz w:val="24"/>
      <w:szCs w:val="16"/>
      <w:lang w:eastAsia="zh-CN" w:bidi="he-IL"/>
    </w:rPr>
  </w:style>
  <w:style w:type="paragraph" w:customStyle="1" w:styleId="150">
    <w:name w:val="Schedule 1"/>
    <w:basedOn w:val="149"/>
    <w:qFormat/>
    <w:uiPriority w:val="0"/>
    <w:pPr>
      <w:spacing w:before="240"/>
      <w:jc w:val="center"/>
    </w:pPr>
  </w:style>
  <w:style w:type="character" w:customStyle="1" w:styleId="151">
    <w:name w:val="Balloon Text Char"/>
    <w:basedOn w:val="16"/>
    <w:link w:val="18"/>
    <w:semiHidden/>
    <w:uiPriority w:val="99"/>
    <w:rPr>
      <w:rFonts w:ascii="Segoe UI" w:hAnsi="Segoe UI" w:cs="Segoe UI"/>
      <w:sz w:val="18"/>
      <w:szCs w:val="18"/>
      <w:lang w:eastAsia="en-US"/>
    </w:rPr>
  </w:style>
  <w:style w:type="paragraph" w:customStyle="1" w:styleId="152">
    <w:name w:val="Revision1"/>
    <w:hidden/>
    <w:semiHidden/>
    <w:uiPriority w:val="99"/>
    <w:rPr>
      <w:rFonts w:ascii="CG Times" w:hAnsi="CG Times" w:cs="Times New Roman" w:eastAsiaTheme="minorEastAsia"/>
      <w:sz w:val="22"/>
      <w:lang w:val="en-GB" w:eastAsia="en-US" w:bidi="ar-SA"/>
    </w:rPr>
  </w:style>
  <w:style w:type="character" w:customStyle="1" w:styleId="153">
    <w:name w:val="Body Text 2 Char"/>
    <w:basedOn w:val="16"/>
    <w:link w:val="6"/>
    <w:semiHidden/>
    <w:uiPriority w:val="0"/>
    <w:rPr>
      <w:rFonts w:ascii="CG Times" w:hAnsi="CG Times"/>
      <w:sz w:val="22"/>
      <w:lang w:eastAsia="en-US"/>
    </w:rPr>
  </w:style>
  <w:style w:type="character" w:customStyle="1" w:styleId="154">
    <w:name w:val="Definitions L3 Char"/>
    <w:basedOn w:val="16"/>
    <w:link w:val="70"/>
    <w:qFormat/>
    <w:uiPriority w:val="0"/>
    <w:rPr>
      <w:rFonts w:eastAsia="SimSun"/>
      <w:sz w:val="24"/>
      <w:szCs w:val="16"/>
      <w:lang w:val="en-GB" w:eastAsia="zh-CN" w:bidi="he-IL"/>
    </w:rPr>
  </w:style>
  <w:style w:type="paragraph" w:customStyle="1" w:styleId="155">
    <w:name w:val="Simple L2"/>
    <w:basedOn w:val="1"/>
    <w:qFormat/>
    <w:uiPriority w:val="0"/>
    <w:pPr>
      <w:numPr>
        <w:ilvl w:val="1"/>
        <w:numId w:val="6"/>
      </w:numPr>
      <w:outlineLvl w:val="1"/>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FFDFB-7B53-42D5-9293-8439A5620C44}">
  <ds:schemaRefs/>
</ds:datastoreItem>
</file>

<file path=docProps/app.xml><?xml version="1.0" encoding="utf-8"?>
<Properties xmlns="http://schemas.openxmlformats.org/officeDocument/2006/extended-properties" xmlns:vt="http://schemas.openxmlformats.org/officeDocument/2006/docPropsVTypes">
  <Template>Other CC Document.Dot</Template>
  <Pages>68</Pages>
  <Words>13307</Words>
  <Characters>75854</Characters>
  <Lines>632</Lines>
  <Paragraphs>177</Paragraphs>
  <TotalTime>22</TotalTime>
  <ScaleCrop>false</ScaleCrop>
  <LinksUpToDate>false</LinksUpToDate>
  <CharactersWithSpaces>88984</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2021-06-21T15:05:00Z</dcterms:created>
  <dc:creator>Soemadipradja &amp;Taher</dc:creator>
  <cp:lastModifiedBy>Wennang</cp:lastModifiedBy>
  <dcterms:modified xsi:type="dcterms:W3CDTF">2021-06-21T15:56:16Z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